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74F72" w14:textId="2BC8E958" w:rsidR="009C789F" w:rsidRPr="009C789F" w:rsidRDefault="009C789F" w:rsidP="00256B2C">
      <w:pPr>
        <w:pStyle w:val="Nagwek1"/>
        <w:spacing w:before="240" w:after="240" w:line="276" w:lineRule="auto"/>
        <w:ind w:left="284"/>
        <w:jc w:val="left"/>
        <w:rPr>
          <w:rFonts w:ascii="Calibri" w:hAnsi="Calibri" w:cs="Calibri"/>
        </w:rPr>
      </w:pPr>
      <w:r w:rsidRPr="009C789F">
        <w:rPr>
          <w:rFonts w:ascii="Calibri" w:hAnsi="Calibri" w:cs="Calibri"/>
          <w:noProof/>
        </w:rPr>
        <w:drawing>
          <wp:anchor distT="0" distB="0" distL="114300" distR="114300" simplePos="0" relativeHeight="251662336" behindDoc="1" locked="0" layoutInCell="1" allowOverlap="1" wp14:anchorId="41FDA8DA" wp14:editId="3B439055">
            <wp:simplePos x="0" y="0"/>
            <wp:positionH relativeFrom="column">
              <wp:posOffset>1652905</wp:posOffset>
            </wp:positionH>
            <wp:positionV relativeFrom="paragraph">
              <wp:posOffset>-773430</wp:posOffset>
            </wp:positionV>
            <wp:extent cx="5762625" cy="523875"/>
            <wp:effectExtent l="0" t="0" r="9525" b="9525"/>
            <wp:wrapNone/>
            <wp:docPr id="1732894196" name="Obraz 4" descr="Pasek logotypów: logotyp Fundusze Europejskie dla Rozwoju Społecznego, logotyp Rzeczpospolita Polska, logotyp Dofinansowane przez Unię Europejską, Logotyp Parp Grupa PFR, w kolorze szaro-czerwonym, znaczek husarii i tekst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C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1" layoutInCell="1" allowOverlap="1" wp14:anchorId="515171CE" wp14:editId="6C792F66">
                <wp:simplePos x="0" y="0"/>
                <wp:positionH relativeFrom="column">
                  <wp:posOffset>33020</wp:posOffset>
                </wp:positionH>
                <wp:positionV relativeFrom="paragraph">
                  <wp:posOffset>8536939</wp:posOffset>
                </wp:positionV>
                <wp:extent cx="5715000" cy="0"/>
                <wp:effectExtent l="0" t="0" r="0" b="0"/>
                <wp:wrapNone/>
                <wp:docPr id="1953138598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DFB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.6pt;margin-top:672.2pt;width:450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" strokecolor="#bfbfbf" strokeweight=".5pt">
                <w10:anchorlock/>
              </v:shape>
            </w:pict>
          </mc:Fallback>
        </mc:AlternateContent>
      </w:r>
      <w:r w:rsidRPr="009C789F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1" layoutInCell="1" allowOverlap="1" wp14:anchorId="0036CDB4" wp14:editId="517E1648">
            <wp:simplePos x="0" y="0"/>
            <wp:positionH relativeFrom="column">
              <wp:posOffset>66040</wp:posOffset>
            </wp:positionH>
            <wp:positionV relativeFrom="paragraph">
              <wp:posOffset>8543925</wp:posOffset>
            </wp:positionV>
            <wp:extent cx="5777865" cy="684530"/>
            <wp:effectExtent l="0" t="0" r="0" b="0"/>
            <wp:wrapNone/>
            <wp:docPr id="45500910" name="Obraz 2" descr="Pasek logotypów Funduszy Europejskich: logotyp Fundusze Europejskie dla Rozwoju Społecznego, logotyp Rzecpospolita Polska, logotyp Dofinansowane przez Unię Europejsk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sek logotypów Funduszy Europejskich: logotyp Fundusze Europejskie dla Rozwoju Społecznego, logotyp Rzecpospolita Polska, logotyp Dofinansowane przez Unię Europejsk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73D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0" wp14:anchorId="6EB0F564" wp14:editId="17825477">
                <wp:simplePos x="0" y="0"/>
                <wp:positionH relativeFrom="page">
                  <wp:posOffset>943610</wp:posOffset>
                </wp:positionH>
                <wp:positionV relativeFrom="page">
                  <wp:posOffset>9291955</wp:posOffset>
                </wp:positionV>
                <wp:extent cx="2928620" cy="438785"/>
                <wp:effectExtent l="0" t="0" r="0" b="0"/>
                <wp:wrapTight wrapText="bothSides">
                  <wp:wrapPolygon edited="0">
                    <wp:start x="0" y="0"/>
                    <wp:lineTo x="0" y="20631"/>
                    <wp:lineTo x="21497" y="20631"/>
                    <wp:lineTo x="21497" y="0"/>
                    <wp:lineTo x="0" y="0"/>
                  </wp:wrapPolygon>
                </wp:wrapTight>
                <wp:docPr id="179206336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8620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A63FAD" w14:textId="77777777" w:rsidR="009C789F" w:rsidRPr="00EC442C" w:rsidRDefault="009C789F" w:rsidP="009C789F">
                            <w:pPr>
                              <w:pStyle w:val="Stopka"/>
                              <w:rPr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 w:rsidRPr="00EC442C">
                              <w:rPr>
                                <w:rFonts w:cs="Calibri"/>
                                <w:b/>
                                <w:bCs/>
                                <w:color w:val="7F7F7F"/>
                                <w:sz w:val="24"/>
                                <w:szCs w:val="24"/>
                                <w:shd w:val="clear" w:color="auto" w:fill="FFFFFF"/>
                              </w:rPr>
                              <w:t>Polska Agencja Rozwoju Przedsiębiorczości</w:t>
                            </w:r>
                          </w:p>
                          <w:p w14:paraId="6CE58678" w14:textId="77777777" w:rsidR="009C789F" w:rsidRPr="00EC442C" w:rsidRDefault="009C789F" w:rsidP="009C789F">
                            <w:pPr>
                              <w:pStyle w:val="Stopka"/>
                              <w:spacing w:line="280" w:lineRule="exact"/>
                              <w:rPr>
                                <w:color w:val="7F7F7F"/>
                                <w:sz w:val="20"/>
                                <w:szCs w:val="20"/>
                              </w:rPr>
                            </w:pPr>
                            <w:r w:rsidRPr="00EC442C">
                              <w:rPr>
                                <w:color w:val="7F7F7F"/>
                                <w:sz w:val="20"/>
                                <w:szCs w:val="20"/>
                              </w:rPr>
                              <w:t xml:space="preserve">ul. Pańska 81/83, 00-834 Warszawa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0F56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74.3pt;margin-top:731.65pt;width:230.6pt;height:3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" o:allowincell="f" o:allowoverlap="f" stroked="f">
                <v:textbox>
                  <w:txbxContent>
                    <w:p w14:paraId="08A63FAD" w14:textId="77777777" w:rsidR="009C789F" w:rsidRPr="00EC442C" w:rsidRDefault="009C789F" w:rsidP="009C789F">
                      <w:pPr>
                        <w:pStyle w:val="Stopka"/>
                        <w:rPr>
                          <w:b/>
                          <w:color w:val="7F7F7F"/>
                          <w:sz w:val="24"/>
                          <w:szCs w:val="24"/>
                        </w:rPr>
                      </w:pPr>
                      <w:r w:rsidRPr="00EC442C">
                        <w:rPr>
                          <w:rFonts w:cs="Calibri"/>
                          <w:b/>
                          <w:bCs/>
                          <w:color w:val="7F7F7F"/>
                          <w:sz w:val="24"/>
                          <w:szCs w:val="24"/>
                          <w:shd w:val="clear" w:color="auto" w:fill="FFFFFF"/>
                        </w:rPr>
                        <w:t>Polska Agencja Rozwoju Przedsiębiorczości</w:t>
                      </w:r>
                    </w:p>
                    <w:p w14:paraId="6CE58678" w14:textId="77777777" w:rsidR="009C789F" w:rsidRPr="00EC442C" w:rsidRDefault="009C789F" w:rsidP="009C789F">
                      <w:pPr>
                        <w:pStyle w:val="Stopka"/>
                        <w:spacing w:line="280" w:lineRule="exact"/>
                        <w:rPr>
                          <w:color w:val="7F7F7F"/>
                          <w:sz w:val="20"/>
                          <w:szCs w:val="20"/>
                        </w:rPr>
                      </w:pPr>
                      <w:r w:rsidRPr="00EC442C">
                        <w:rPr>
                          <w:color w:val="7F7F7F"/>
                          <w:sz w:val="20"/>
                          <w:szCs w:val="20"/>
                        </w:rPr>
                        <w:t xml:space="preserve">ul. Pańska 81/83, 00-834 Warszawa  </w:t>
                      </w:r>
                    </w:p>
                  </w:txbxContent>
                </v:textbox>
                <w10:wrap type="tight" anchorx="page" anchory="page"/>
                <w10:anchorlock/>
              </v:shape>
            </w:pict>
          </mc:Fallback>
        </mc:AlternateContent>
      </w:r>
      <w:r w:rsidRPr="009C789F">
        <w:rPr>
          <w:rFonts w:ascii="Calibri" w:hAnsi="Calibri" w:cs="Calibri"/>
        </w:rPr>
        <w:t>Formularz dotyczący rozeznania rynku</w:t>
      </w:r>
      <w:r>
        <w:rPr>
          <w:rFonts w:ascii="Calibri" w:hAnsi="Calibri" w:cs="Calibri"/>
        </w:rPr>
        <w:t xml:space="preserve"> </w:t>
      </w:r>
      <w:r w:rsidRPr="009C789F">
        <w:rPr>
          <w:rFonts w:ascii="Calibri" w:hAnsi="Calibri" w:cs="Calibri"/>
        </w:rPr>
        <w:t xml:space="preserve">w ramach konkursu „Dostępność </w:t>
      </w:r>
      <w:r w:rsidR="00A35BC5">
        <w:rPr>
          <w:rFonts w:ascii="Calibri" w:hAnsi="Calibri" w:cs="Calibri"/>
        </w:rPr>
        <w:t>Dyrektywa EAA</w:t>
      </w:r>
      <w:r w:rsidRPr="009C789F">
        <w:rPr>
          <w:rFonts w:ascii="Calibri" w:hAnsi="Calibri" w:cs="Calibri"/>
        </w:rPr>
        <w:t xml:space="preserve">” dla działania 01.03 Kadry nowoczesnej gospodarki Programu Fundusze Europejskie dla Rozwoju Społecznego 2021-2027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0948"/>
      </w:tblGrid>
      <w:tr w:rsidR="009C789F" w:rsidRPr="00D83835" w14:paraId="707E36BB" w14:textId="77777777" w:rsidTr="00157B49">
        <w:tc>
          <w:tcPr>
            <w:tcW w:w="3227" w:type="dxa"/>
            <w:shd w:val="clear" w:color="auto" w:fill="F2F2F2"/>
          </w:tcPr>
          <w:p w14:paraId="712FCCBC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Podmiot:</w:t>
            </w:r>
          </w:p>
        </w:tc>
        <w:tc>
          <w:tcPr>
            <w:tcW w:w="10948" w:type="dxa"/>
            <w:shd w:val="clear" w:color="auto" w:fill="auto"/>
          </w:tcPr>
          <w:p w14:paraId="51CE401B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55DCD5D0" w14:textId="77777777" w:rsidTr="00157B49">
        <w:tc>
          <w:tcPr>
            <w:tcW w:w="3227" w:type="dxa"/>
            <w:shd w:val="clear" w:color="auto" w:fill="F2F2F2"/>
          </w:tcPr>
          <w:p w14:paraId="3506857E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Osoba do kontaktu:</w:t>
            </w:r>
          </w:p>
        </w:tc>
        <w:tc>
          <w:tcPr>
            <w:tcW w:w="10948" w:type="dxa"/>
            <w:shd w:val="clear" w:color="auto" w:fill="auto"/>
          </w:tcPr>
          <w:p w14:paraId="563BF96E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29B6676A" w14:textId="77777777" w:rsidTr="00157B49">
        <w:tc>
          <w:tcPr>
            <w:tcW w:w="3227" w:type="dxa"/>
            <w:shd w:val="clear" w:color="auto" w:fill="F2F2F2"/>
          </w:tcPr>
          <w:p w14:paraId="14037923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E-mail:</w:t>
            </w:r>
          </w:p>
        </w:tc>
        <w:tc>
          <w:tcPr>
            <w:tcW w:w="10948" w:type="dxa"/>
            <w:shd w:val="clear" w:color="auto" w:fill="auto"/>
          </w:tcPr>
          <w:p w14:paraId="644AEEC2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5894BCF8" w14:textId="77777777" w:rsidTr="00157B49">
        <w:tc>
          <w:tcPr>
            <w:tcW w:w="3227" w:type="dxa"/>
            <w:shd w:val="clear" w:color="auto" w:fill="F2F2F2"/>
          </w:tcPr>
          <w:p w14:paraId="55AA064D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Tel:</w:t>
            </w:r>
          </w:p>
        </w:tc>
        <w:tc>
          <w:tcPr>
            <w:tcW w:w="10948" w:type="dxa"/>
            <w:shd w:val="clear" w:color="auto" w:fill="auto"/>
          </w:tcPr>
          <w:p w14:paraId="76C0AC09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  <w:tr w:rsidR="009C789F" w:rsidRPr="00D83835" w14:paraId="401C7CA9" w14:textId="77777777" w:rsidTr="00157B49">
        <w:tc>
          <w:tcPr>
            <w:tcW w:w="3227" w:type="dxa"/>
            <w:shd w:val="clear" w:color="auto" w:fill="F2F2F2"/>
          </w:tcPr>
          <w:p w14:paraId="5D225EEB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  <w:r w:rsidRPr="00D83835">
              <w:rPr>
                <w:rFonts w:ascii="Calibri" w:hAnsi="Calibri" w:cs="Calibri"/>
                <w:b/>
                <w:sz w:val="24"/>
              </w:rPr>
              <w:t>Data sporządzenia informacji:</w:t>
            </w:r>
          </w:p>
        </w:tc>
        <w:tc>
          <w:tcPr>
            <w:tcW w:w="10948" w:type="dxa"/>
            <w:shd w:val="clear" w:color="auto" w:fill="auto"/>
          </w:tcPr>
          <w:p w14:paraId="0AA03BA2" w14:textId="77777777" w:rsidR="009C789F" w:rsidRPr="00D83835" w:rsidRDefault="009C789F" w:rsidP="00157B49">
            <w:pPr>
              <w:spacing w:line="276" w:lineRule="auto"/>
              <w:jc w:val="left"/>
              <w:rPr>
                <w:rFonts w:ascii="Calibri" w:hAnsi="Calibri" w:cs="Calibri"/>
                <w:b/>
                <w:sz w:val="24"/>
              </w:rPr>
            </w:pPr>
          </w:p>
        </w:tc>
      </w:tr>
    </w:tbl>
    <w:p w14:paraId="1FE72BD3" w14:textId="77777777" w:rsidR="009C789F" w:rsidRPr="00E932C0" w:rsidRDefault="009C789F" w:rsidP="009C789F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11500"/>
        <w:gridCol w:w="1940"/>
      </w:tblGrid>
      <w:tr w:rsidR="009C789F" w:rsidRPr="005A059B" w14:paraId="772AACA2" w14:textId="77777777" w:rsidTr="00EE20CC">
        <w:trPr>
          <w:tblHeader/>
        </w:trPr>
        <w:tc>
          <w:tcPr>
            <w:tcW w:w="735" w:type="dxa"/>
            <w:shd w:val="clear" w:color="auto" w:fill="F2F2F2"/>
            <w:vAlign w:val="center"/>
          </w:tcPr>
          <w:p w14:paraId="0288FB9F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Lp.</w:t>
            </w:r>
          </w:p>
        </w:tc>
        <w:tc>
          <w:tcPr>
            <w:tcW w:w="11500" w:type="dxa"/>
            <w:shd w:val="clear" w:color="auto" w:fill="F2F2F2"/>
            <w:vAlign w:val="center"/>
          </w:tcPr>
          <w:p w14:paraId="5C29BE8E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Zadanie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i s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tandard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usługi</w:t>
            </w:r>
          </w:p>
        </w:tc>
        <w:tc>
          <w:tcPr>
            <w:tcW w:w="1940" w:type="dxa"/>
            <w:shd w:val="clear" w:color="auto" w:fill="F2F2F2"/>
            <w:vAlign w:val="center"/>
          </w:tcPr>
          <w:p w14:paraId="4880257B" w14:textId="77777777" w:rsidR="009C789F" w:rsidRPr="005A059B" w:rsidRDefault="009C789F" w:rsidP="00157B49">
            <w:pPr>
              <w:spacing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C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ena </w:t>
            </w:r>
            <w:r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jednost</w:t>
            </w:r>
            <w:r w:rsidRPr="005A059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 xml:space="preserve">kowa </w:t>
            </w:r>
          </w:p>
        </w:tc>
      </w:tr>
      <w:tr w:rsidR="009C789F" w:rsidRPr="005A059B" w14:paraId="56D7BD93" w14:textId="77777777" w:rsidTr="00EE20CC">
        <w:trPr>
          <w:trHeight w:val="1158"/>
        </w:trPr>
        <w:tc>
          <w:tcPr>
            <w:tcW w:w="735" w:type="dxa"/>
            <w:shd w:val="clear" w:color="auto" w:fill="auto"/>
          </w:tcPr>
          <w:p w14:paraId="3B2DB199" w14:textId="77777777" w:rsidR="009C789F" w:rsidRPr="005A059B" w:rsidRDefault="009C789F" w:rsidP="00157B49">
            <w:pPr>
              <w:numPr>
                <w:ilvl w:val="0"/>
                <w:numId w:val="1"/>
              </w:numPr>
              <w:tabs>
                <w:tab w:val="left" w:pos="380"/>
              </w:tabs>
              <w:spacing w:before="60" w:line="276" w:lineRule="auto"/>
              <w:ind w:left="0" w:firstLine="0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00" w:type="dxa"/>
            <w:shd w:val="clear" w:color="auto" w:fill="auto"/>
          </w:tcPr>
          <w:p w14:paraId="6303000A" w14:textId="31AD90F2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Koszt rekrutacji potencjalnych uczestników usług </w:t>
            </w:r>
            <w:r w:rsidR="003A47F8"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szkoleniow</w:t>
            </w:r>
            <w:r w:rsidR="003A47F8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o –</w:t>
            </w:r>
            <w:r w:rsidR="003A47F8"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doradczych</w:t>
            </w:r>
            <w:r w:rsidR="0076480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="00764801" w:rsidRPr="00764801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tj.</w:t>
            </w:r>
            <w:r w:rsidR="00085F37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przedsiębiorstwa</w:t>
            </w:r>
          </w:p>
          <w:p w14:paraId="18B61C47" w14:textId="47971E23" w:rsidR="00A35BC5" w:rsidRPr="004B6805" w:rsidRDefault="00A35BC5" w:rsidP="00A35BC5">
            <w:pPr>
              <w:spacing w:before="240" w:after="120" w:line="276" w:lineRule="auto"/>
              <w:jc w:val="left"/>
              <w:rPr>
                <w:rFonts w:ascii="Calibri" w:eastAsia="Calibri" w:hAnsi="Calibri" w:cs="Calibri"/>
                <w:color w:val="FF0000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Rekrutacja rozumiana jest jako aktywne działania merytoryczne niezbędne do pozyskania przedsiębiorstwa, którego </w:t>
            </w:r>
            <w:r w:rsidRPr="00764801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en-US"/>
              </w:rPr>
              <w:t xml:space="preserve">pracownica lub pracownice lub pracownik lub pracownicy zostaną </w:t>
            </w: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objęci wsparciem w ramach projektu.</w:t>
            </w:r>
            <w:r w:rsidR="001E641B" w:rsidRPr="004B6805">
              <w:rPr>
                <w:rFonts w:ascii="Calibri" w:eastAsia="Calibri" w:hAnsi="Calibri" w:cs="Calibri"/>
                <w:color w:val="FF0000"/>
                <w:sz w:val="24"/>
                <w:szCs w:val="24"/>
                <w:lang w:eastAsia="en-US"/>
              </w:rPr>
              <w:t>.</w:t>
            </w:r>
          </w:p>
          <w:p w14:paraId="1D678957" w14:textId="77777777" w:rsidR="00A35BC5" w:rsidRPr="00D254D3" w:rsidRDefault="00A35BC5" w:rsidP="00A35BC5">
            <w:pPr>
              <w:spacing w:before="240" w:after="120" w:line="276" w:lineRule="auto"/>
              <w:ind w:left="-52" w:firstLine="52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Rekrutacja rozumiana jest jako:</w:t>
            </w:r>
          </w:p>
          <w:p w14:paraId="42D27F9F" w14:textId="79971443" w:rsidR="00A35BC5" w:rsidRPr="00A35BC5" w:rsidRDefault="00A35BC5" w:rsidP="00A35BC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ind w:left="-52" w:firstLine="52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uświadomienie potencjalnym </w:t>
            </w:r>
            <w:r w:rsidRPr="00D254D3">
              <w:rPr>
                <w:rFonts w:ascii="Calibri" w:hAnsi="Calibri" w:cs="Calibri"/>
                <w:sz w:val="24"/>
                <w:szCs w:val="24"/>
              </w:rPr>
              <w:t>uczestnikom usług szkoleniow</w:t>
            </w:r>
            <w:r w:rsidR="00565835">
              <w:rPr>
                <w:rFonts w:ascii="Calibri" w:hAnsi="Calibri" w:cs="Calibri"/>
                <w:sz w:val="24"/>
                <w:szCs w:val="24"/>
              </w:rPr>
              <w:t xml:space="preserve">o – </w:t>
            </w:r>
            <w:r w:rsidR="00565835" w:rsidRPr="007648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doradczych</w:t>
            </w:r>
            <w:r w:rsidRPr="007648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4B6805" w:rsidRPr="007648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(przedsiębiorstwom) </w:t>
            </w:r>
            <w:r w:rsidRPr="007648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kwestii </w:t>
            </w:r>
            <w:r w:rsidRPr="00D254D3">
              <w:rPr>
                <w:rFonts w:ascii="Calibri" w:hAnsi="Calibri" w:cs="Calibri"/>
                <w:sz w:val="24"/>
                <w:szCs w:val="24"/>
              </w:rPr>
              <w:t>wynikających ze zmieniającego się otoczenia regulacyjno-prawnego w związku z transpozycją Dyrektywy EAA do prawodawstwa krajowego</w:t>
            </w:r>
            <w:r w:rsidRPr="00D254D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 wsparcie merytoryczne przedsiębiorstwa w zakresie</w:t>
            </w:r>
            <w:r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00D254D3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wytypowania osoby lub osób które zostaną wydelegowane do udziału w projekcie (jeśli dotyczy)</w:t>
            </w:r>
            <w:r w:rsidRPr="00D254D3">
              <w:rPr>
                <w:rFonts w:ascii="Calibri" w:eastAsia="Calibri" w:hAnsi="Calibri" w:cs="Calibri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14:paraId="702B5BE9" w14:textId="1B4CCCA8" w:rsidR="00A35BC5" w:rsidRPr="00A35BC5" w:rsidRDefault="00A35BC5" w:rsidP="00A35BC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35BC5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lastRenderedPageBreak/>
              <w:t>merytoryczna ocena dokumentów składanych przez przedsiębiorstwa, w tym weryfikacja podmiotu i jego statusu (m.in. na podstawie wpisu do KRS/CEIDG oraz powiązań osobowo-kapitałowych), formularza informacji przedstawianych przy ubieganiu się o pomoc de minimis, zaświadczeń o otrzymanej pomocy de minimis lub oświadczeń o braku otrzymania pomocy de minimis w okresie ostatnich 3 lat (weryfikowane w oparciu o SHRIMP), sprawdzenie podmiotu oraz podmiotów i osób powiązanych z nim osobowo lub kapitałowo pod kątem potencjalnego wykluczenia na podstawie art. 7 ust. 3 ustawy z dnia 13 kwietnia 2022 r. o szczególnych rozwiązaniach w zakresie przeciwdziałania wspieraniu agresji na Ukrainę oraz służących ochronie bezpieczeństwa narodowego (jeśli dotyczy)</w:t>
            </w:r>
            <w:r w:rsidR="00D527EF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;</w:t>
            </w:r>
          </w:p>
          <w:p w14:paraId="74D3BD4C" w14:textId="5130C154" w:rsidR="00A35BC5" w:rsidRPr="00A35BC5" w:rsidRDefault="00A35BC5" w:rsidP="00A35BC5">
            <w:pPr>
              <w:pStyle w:val="Akapitzlist"/>
              <w:numPr>
                <w:ilvl w:val="0"/>
                <w:numId w:val="6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A35BC5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merytoryczna weryfikacja kwalifikowalności przedsiębiorstwa do projektu </w:t>
            </w:r>
            <w:r w:rsidR="00D527EF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–</w:t>
            </w:r>
            <w:r w:rsidRPr="00A35BC5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grupę docelową stanowią mikro, małe, średnie oraz duże przedsiębiorstwa, w tym minimum 90% to:</w:t>
            </w:r>
          </w:p>
          <w:p w14:paraId="4C01D7AD" w14:textId="2A6AF174" w:rsidR="00A35BC5" w:rsidRPr="00A35BC5" w:rsidRDefault="00A35BC5" w:rsidP="00A35BC5">
            <w:pPr>
              <w:pStyle w:val="Akapitzlist"/>
              <w:numPr>
                <w:ilvl w:val="0"/>
                <w:numId w:val="11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hAnsi="Calibri" w:cs="Calibri"/>
                <w:sz w:val="24"/>
                <w:szCs w:val="24"/>
              </w:rPr>
              <w:t>przedsiębiorstwa, które są producentami lub upoważnionymi przedstawicielami producentów,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D254D3">
              <w:rPr>
                <w:rFonts w:ascii="Calibri" w:hAnsi="Calibri" w:cs="Calibri"/>
                <w:sz w:val="24"/>
                <w:szCs w:val="24"/>
              </w:rPr>
              <w:t>importerami lub dystrybutorami produktów, które są objęte stosowaniem ustawy będącej transpozycją Dyrektywy EAA oraz</w:t>
            </w:r>
          </w:p>
          <w:p w14:paraId="17BC8F05" w14:textId="6AAAF647" w:rsidR="00A35BC5" w:rsidRDefault="00A35BC5" w:rsidP="00A35BC5">
            <w:pPr>
              <w:pStyle w:val="Akapitzlist"/>
              <w:numPr>
                <w:ilvl w:val="0"/>
                <w:numId w:val="11"/>
              </w:numPr>
              <w:spacing w:before="240" w:after="240" w:line="276" w:lineRule="auto"/>
              <w:jc w:val="left"/>
              <w:rPr>
                <w:rFonts w:ascii="Calibri" w:hAnsi="Calibri" w:cs="Calibri"/>
                <w:sz w:val="24"/>
                <w:szCs w:val="24"/>
              </w:rPr>
            </w:pPr>
            <w:r w:rsidRPr="00A35BC5">
              <w:rPr>
                <w:rFonts w:ascii="Calibri" w:hAnsi="Calibri" w:cs="Calibri"/>
                <w:sz w:val="24"/>
                <w:szCs w:val="24"/>
              </w:rPr>
              <w:t>przedsiębiorstwa, które świadczą usługi objęte stosowaniem ustawy będącej transpozycją Dyrektywy EAA.</w:t>
            </w:r>
          </w:p>
          <w:p w14:paraId="3BB701D9" w14:textId="343DCBF4" w:rsidR="00085F37" w:rsidRPr="00E46AF8" w:rsidRDefault="00085F37" w:rsidP="005F5904">
            <w:pPr>
              <w:spacing w:before="240" w:after="240" w:line="276" w:lineRule="auto"/>
              <w:jc w:val="left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E46AF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Pozostałe 10 % stanowią </w:t>
            </w:r>
            <w:r w:rsidR="00D527EF" w:rsidRPr="00E46AF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inne </w:t>
            </w:r>
            <w:r w:rsidRPr="00E46AF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przedsiębiorstwa w szczególności planujące działania gospodarcze, o których mowa w lit. a) lub b).</w:t>
            </w:r>
          </w:p>
          <w:p w14:paraId="393ED77A" w14:textId="41C60D9B" w:rsidR="00A35BC5" w:rsidRPr="00D254D3" w:rsidRDefault="00A35BC5" w:rsidP="00A35BC5">
            <w:pPr>
              <w:pStyle w:val="Akapitzlist"/>
              <w:spacing w:before="240" w:after="240" w:line="276" w:lineRule="auto"/>
              <w:ind w:left="0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hAnsi="Calibri" w:cs="Calibri"/>
                <w:sz w:val="24"/>
                <w:szCs w:val="24"/>
              </w:rPr>
              <w:t>Kwalifikowalność przedsiębiorstwa do danej kategorii grupy docelowej projektu podlega weryfikacji oświadczenia przedsiębiorstwa oraz dokumentu/ów poświadczających powyższe, np. faktura, umowa</w:t>
            </w:r>
            <w:r w:rsidR="00D527EF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EDA2C18" w14:textId="2076BDCC" w:rsidR="00A35BC5" w:rsidRPr="00A35BC5" w:rsidRDefault="00A35BC5" w:rsidP="00A35BC5">
            <w:pPr>
              <w:pStyle w:val="Akapitzlist"/>
              <w:spacing w:line="276" w:lineRule="auto"/>
              <w:ind w:left="1361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1940" w:type="dxa"/>
            <w:shd w:val="clear" w:color="auto" w:fill="auto"/>
          </w:tcPr>
          <w:p w14:paraId="12DA9D77" w14:textId="77777777" w:rsidR="009C789F" w:rsidRPr="00F62D81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F6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lastRenderedPageBreak/>
              <w:t xml:space="preserve">…. PLN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brutto </w:t>
            </w:r>
            <w:r w:rsidRPr="00F62D81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 xml:space="preserve">za przedsiębiorstwo </w:t>
            </w:r>
          </w:p>
          <w:p w14:paraId="67D7A4BC" w14:textId="77777777" w:rsidR="009C789F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  <w:tr w:rsidR="009C789F" w:rsidRPr="005A059B" w14:paraId="35A38EB9" w14:textId="77777777" w:rsidTr="00EE20CC">
        <w:trPr>
          <w:trHeight w:val="1158"/>
        </w:trPr>
        <w:tc>
          <w:tcPr>
            <w:tcW w:w="735" w:type="dxa"/>
            <w:shd w:val="clear" w:color="auto" w:fill="auto"/>
          </w:tcPr>
          <w:p w14:paraId="2D90A538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left="773" w:hanging="56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00" w:type="dxa"/>
            <w:shd w:val="clear" w:color="auto" w:fill="auto"/>
          </w:tcPr>
          <w:p w14:paraId="211F0FA4" w14:textId="1FD7E017" w:rsidR="009C789F" w:rsidRPr="00EF73BB" w:rsidRDefault="009C789F" w:rsidP="00157B49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Koszt rekrutacji potencjalnych uczestników usług szkoleniow</w:t>
            </w:r>
            <w:r w:rsidR="00D527EF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o –</w:t>
            </w:r>
            <w:r w:rsidR="002C5D7E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</w:t>
            </w:r>
            <w:r w:rsidR="002C5D7E"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doradczych</w:t>
            </w:r>
            <w:r w:rsidR="00D527EF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tj.</w:t>
            </w:r>
            <w:r w:rsidRPr="00EF73BB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 xml:space="preserve"> pracownice lub pracownicy przedsiębiorstwa  </w:t>
            </w:r>
          </w:p>
          <w:p w14:paraId="6000C4F4" w14:textId="77777777" w:rsidR="00A35BC5" w:rsidRPr="00D254D3" w:rsidRDefault="00A35BC5" w:rsidP="00A35BC5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Rekrutacja rozumiana jest jako aktywne działania merytoryczne niezbędne do pozyskania uczestniczek lub uczestników usług szkoleniowych oraz doradztwa poszkoleniowego (o ile będzie taka potrzeba). </w:t>
            </w:r>
          </w:p>
          <w:p w14:paraId="1890B902" w14:textId="77777777" w:rsidR="00A35BC5" w:rsidRPr="00D254D3" w:rsidRDefault="00A35BC5" w:rsidP="00A35BC5">
            <w:p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Rekrutacja rozumiana jest jako merytoryczna ocena dokumentów, w tym: </w:t>
            </w:r>
          </w:p>
          <w:p w14:paraId="5D00A780" w14:textId="77777777" w:rsidR="00A35BC5" w:rsidRPr="00D254D3" w:rsidRDefault="00A35BC5" w:rsidP="00A35BC5">
            <w:pPr>
              <w:pStyle w:val="Akapitzlist"/>
              <w:numPr>
                <w:ilvl w:val="0"/>
                <w:numId w:val="13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kwalifikowalność osób do projektu zgodnie z definicją pracownika określoną w art. 3 ust. 3 ustawy o PARP, </w:t>
            </w:r>
          </w:p>
          <w:p w14:paraId="528A2454" w14:textId="273B0996" w:rsidR="00A35BC5" w:rsidRPr="00D254D3" w:rsidRDefault="00A35BC5" w:rsidP="00A35BC5">
            <w:pPr>
              <w:pStyle w:val="Akapitzlist"/>
              <w:numPr>
                <w:ilvl w:val="0"/>
                <w:numId w:val="13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oświadczenia pracownic lub pracowników przedsiębiorstwa o jednorazowym udziale w projekcie w ramach naboru „Dostępność Dyrektywa</w:t>
            </w:r>
            <w:r w:rsidR="006E67E9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 </w:t>
            </w: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>EAA”,</w:t>
            </w:r>
          </w:p>
          <w:p w14:paraId="226B27CF" w14:textId="451E99A6" w:rsidR="004B6805" w:rsidRPr="00505D97" w:rsidRDefault="00A35BC5" w:rsidP="00505D97">
            <w:pPr>
              <w:pStyle w:val="Akapitzlist"/>
              <w:numPr>
                <w:ilvl w:val="0"/>
                <w:numId w:val="13"/>
              </w:numPr>
              <w:spacing w:before="240" w:after="240" w:line="276" w:lineRule="auto"/>
              <w:jc w:val="left"/>
              <w:rPr>
                <w:rFonts w:ascii="Calibri" w:eastAsia="Calibri" w:hAnsi="Calibri" w:cs="Calibri"/>
                <w:sz w:val="24"/>
                <w:szCs w:val="24"/>
                <w:lang w:eastAsia="en-US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w przypadku, gdy osoba jest zainteresowana otrzymaniem wsparcia w ramach ścieżki 2 projektu  – zaświadczenia (certyfikatu) przedstawionego przez pracownicę lub pracownika przedsiębiorstwa poświadczającego pozyskanie wiedzy i kompetencji w zakresie problematyki niepełnosprawności, szczególnych potrzeb, dostępności, w tym zasad uniwersalnego projektowania – nabyte w  ramach naboru „Dostępność szansą na rozwój 3” realizowanym przez PARP lub podczas innych szkoleń odbytych w ciągu 2 lat przed przystąpieniem do projektu . </w:t>
            </w:r>
          </w:p>
        </w:tc>
        <w:tc>
          <w:tcPr>
            <w:tcW w:w="1940" w:type="dxa"/>
            <w:shd w:val="clear" w:color="auto" w:fill="auto"/>
          </w:tcPr>
          <w:p w14:paraId="03E2FA28" w14:textId="77777777" w:rsidR="009C789F" w:rsidRPr="00EF73BB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815BBA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….. PLN brutto na pracownicę albo pracownika przedsiębiorstwa</w:t>
            </w:r>
          </w:p>
        </w:tc>
      </w:tr>
      <w:tr w:rsidR="009C789F" w:rsidRPr="005A059B" w14:paraId="1CB431CA" w14:textId="77777777" w:rsidTr="00EE20CC">
        <w:trPr>
          <w:trHeight w:val="1158"/>
        </w:trPr>
        <w:tc>
          <w:tcPr>
            <w:tcW w:w="735" w:type="dxa"/>
            <w:shd w:val="clear" w:color="auto" w:fill="auto"/>
          </w:tcPr>
          <w:p w14:paraId="5EA71FE7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right="599" w:hanging="438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00" w:type="dxa"/>
            <w:shd w:val="clear" w:color="auto" w:fill="auto"/>
          </w:tcPr>
          <w:p w14:paraId="1A14C1D9" w14:textId="37B0C9BD" w:rsidR="00EE20CC" w:rsidRDefault="00EE20CC" w:rsidP="006E67E9">
            <w:pPr>
              <w:spacing w:before="60" w:line="276" w:lineRule="auto"/>
              <w:ind w:left="237" w:hanging="237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  <w:r w:rsidRPr="00EE20C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 xml:space="preserve">Koszt godziny pracy trenerki lub trenera </w:t>
            </w:r>
            <w:r w:rsidRPr="00EE20CC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t xml:space="preserve">(przygotowanie merytoryczne i przeprowadzanie szkolenia) </w:t>
            </w:r>
            <w:r w:rsidR="002F7642">
              <w:rPr>
                <w:rStyle w:val="Odwoanieprzypisudolnego"/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  <w:lang w:eastAsia="en-US"/>
              </w:rPr>
              <w:footnoteReference w:id="1"/>
            </w:r>
          </w:p>
          <w:p w14:paraId="295D6B6A" w14:textId="77777777" w:rsidR="00EE20CC" w:rsidRDefault="00EE20CC" w:rsidP="00EE20CC">
            <w:pPr>
              <w:pStyle w:val="pf0"/>
              <w:spacing w:before="240" w:beforeAutospacing="0" w:after="240" w:afterAutospacing="0" w:line="276" w:lineRule="auto"/>
              <w:ind w:left="0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EE20CC">
              <w:rPr>
                <w:rFonts w:ascii="Calibri" w:eastAsia="Calibri" w:hAnsi="Calibri" w:cs="Calibri"/>
                <w:lang w:eastAsia="en-US"/>
              </w:rPr>
              <w:t xml:space="preserve">Trenerki lub trenerzy </w:t>
            </w:r>
            <w:r w:rsidRPr="00EE20CC">
              <w:rPr>
                <w:rFonts w:ascii="Calibri" w:hAnsi="Calibri" w:cs="Calibri"/>
              </w:rPr>
              <w:t>do przeprowadzenia szkoleń</w:t>
            </w: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, muszą  posiadać  udokumentowane:</w:t>
            </w:r>
          </w:p>
          <w:p w14:paraId="47BE610B" w14:textId="77777777" w:rsidR="00EE20CC" w:rsidRPr="00EE20CC" w:rsidRDefault="00EE20CC" w:rsidP="00EE20CC">
            <w:pPr>
              <w:pStyle w:val="pf0"/>
              <w:numPr>
                <w:ilvl w:val="0"/>
                <w:numId w:val="17"/>
              </w:numPr>
              <w:spacing w:before="240" w:beforeAutospacing="0" w:after="240" w:afterAutospacing="0" w:line="276" w:lineRule="auto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lastRenderedPageBreak/>
              <w:t>co najmniej 180 godzin doświadczenia w realizacji działań szkoleniowych w zakresie dostępności, z uwzględnieniem uniwersalnego projektowania, w okresie 3 lat przed przystąpieniem do prowadzenia działań merytorycznych w projekcie, lub</w:t>
            </w:r>
          </w:p>
          <w:p w14:paraId="0FC518DA" w14:textId="47E46ECC" w:rsidR="00EE20CC" w:rsidRPr="00EE20CC" w:rsidRDefault="00EE20CC" w:rsidP="00EE20CC">
            <w:pPr>
              <w:pStyle w:val="pf0"/>
              <w:numPr>
                <w:ilvl w:val="0"/>
                <w:numId w:val="17"/>
              </w:numPr>
              <w:spacing w:before="240" w:beforeAutospacing="0" w:after="240" w:afterAutospacing="0" w:line="276" w:lineRule="auto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co najmniej 180 godzin doświadczenia w realizacji działań szkoleniowych dotyczących nowych rozwiązań prawnych transponujących lub wdrażających prawo UE w zakresie wymagań prawnych lub technicznych dotyczących produktów lub usług (również nieobjętych zakresem stosowania ustawy), np. dotyczące norm, certyfikacji, deklaracji zgodności, lub</w:t>
            </w:r>
          </w:p>
          <w:p w14:paraId="0E0FA838" w14:textId="678CEC96" w:rsidR="00EE20CC" w:rsidRPr="00EE20CC" w:rsidRDefault="00EE20CC" w:rsidP="00EE20CC">
            <w:pPr>
              <w:pStyle w:val="pf0"/>
              <w:numPr>
                <w:ilvl w:val="0"/>
                <w:numId w:val="17"/>
              </w:numPr>
              <w:spacing w:before="240" w:after="240" w:line="276" w:lineRule="auto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a) doświadczenie, o którym mowa w pkt 1)</w:t>
            </w:r>
            <w:r w:rsidR="007416A5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 powyżej</w:t>
            </w: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 oraz</w:t>
            </w:r>
          </w:p>
          <w:p w14:paraId="09B51E8D" w14:textId="217B5ECE" w:rsidR="00EE20CC" w:rsidRPr="00EE20CC" w:rsidRDefault="00EE20CC" w:rsidP="00EE20CC">
            <w:pPr>
              <w:pStyle w:val="pf0"/>
              <w:spacing w:before="240" w:after="240" w:line="276" w:lineRule="auto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b) doświadczenie w jednym z obszarów, o których mowa w wymaganiach dotyczących osób świadczących </w:t>
            </w:r>
            <w:r w:rsidRPr="005F5904">
              <w:rPr>
                <w:rStyle w:val="cf01"/>
                <w:rFonts w:ascii="Calibri" w:eastAsia="Verdana" w:hAnsi="Calibri" w:cs="Calibri"/>
                <w:b/>
                <w:sz w:val="24"/>
                <w:szCs w:val="24"/>
              </w:rPr>
              <w:t>doradztwo poszkoleniowe</w:t>
            </w:r>
            <w:r w:rsidR="007416A5">
              <w:rPr>
                <w:rStyle w:val="cf01"/>
                <w:rFonts w:ascii="Calibri" w:eastAsia="Verdana" w:hAnsi="Calibri" w:cs="Calibri"/>
                <w:b/>
                <w:sz w:val="24"/>
                <w:szCs w:val="24"/>
              </w:rPr>
              <w:t xml:space="preserve"> (poniżej)</w:t>
            </w: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 pkt </w:t>
            </w:r>
            <w:r w:rsidR="007416A5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1 lub </w:t>
            </w: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4 lub 5 lub 6, </w:t>
            </w:r>
          </w:p>
          <w:p w14:paraId="0461AF2A" w14:textId="77777777" w:rsidR="00EE20CC" w:rsidRPr="00EE20CC" w:rsidRDefault="00EE20CC" w:rsidP="00EE20CC">
            <w:pPr>
              <w:pStyle w:val="pf0"/>
              <w:spacing w:before="240" w:after="240" w:line="276" w:lineRule="auto"/>
              <w:rPr>
                <w:rStyle w:val="cf01"/>
                <w:rFonts w:ascii="Calibri" w:eastAsia="Verdana" w:hAnsi="Calibri" w:cs="Calibri"/>
                <w:sz w:val="24"/>
                <w:szCs w:val="24"/>
              </w:rPr>
            </w:pP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lub</w:t>
            </w:r>
          </w:p>
          <w:p w14:paraId="76D83792" w14:textId="14F0BE62" w:rsidR="009C789F" w:rsidRPr="00EE20CC" w:rsidRDefault="00EE20CC" w:rsidP="00EE20CC">
            <w:pPr>
              <w:pStyle w:val="pf0"/>
              <w:spacing w:before="240" w:after="240" w:line="276" w:lineRule="auto"/>
              <w:rPr>
                <w:rFonts w:ascii="Calibri" w:eastAsia="Verdana" w:hAnsi="Calibri" w:cs="Calibri"/>
              </w:rPr>
            </w:pP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co najmniej 180 godzin doświadczenia w realizacji działań szkoleniowych w jednym z obszarów, o których mowa w wymaganiach osób świadczących </w:t>
            </w:r>
            <w:r w:rsidRPr="005F5904">
              <w:rPr>
                <w:rStyle w:val="cf01"/>
                <w:rFonts w:ascii="Calibri" w:eastAsia="Verdana" w:hAnsi="Calibri" w:cs="Calibri"/>
                <w:b/>
                <w:sz w:val="24"/>
                <w:szCs w:val="24"/>
              </w:rPr>
              <w:t xml:space="preserve">doradztwo </w:t>
            </w:r>
            <w:r w:rsidRPr="00E46AF8">
              <w:rPr>
                <w:rStyle w:val="cf01"/>
                <w:rFonts w:ascii="Calibri" w:eastAsia="Verdana" w:hAnsi="Calibri" w:cs="Calibri"/>
                <w:b/>
                <w:sz w:val="24"/>
                <w:szCs w:val="24"/>
              </w:rPr>
              <w:t xml:space="preserve">poszkoleniowe </w:t>
            </w:r>
            <w:r w:rsidR="007416A5" w:rsidRPr="00E46AF8">
              <w:rPr>
                <w:rStyle w:val="cf01"/>
                <w:rFonts w:ascii="Calibri" w:eastAsia="Verdana" w:hAnsi="Calibri" w:cs="Calibri"/>
                <w:b/>
                <w:sz w:val="24"/>
                <w:szCs w:val="24"/>
              </w:rPr>
              <w:t>(poniżej)</w:t>
            </w: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  </w:t>
            </w:r>
            <w:r w:rsidRPr="007416A5">
              <w:rPr>
                <w:rStyle w:val="cf01"/>
                <w:rFonts w:ascii="Calibri" w:eastAsia="Verdana" w:hAnsi="Calibri" w:cs="Calibri"/>
                <w:sz w:val="24"/>
                <w:szCs w:val="24"/>
              </w:rPr>
              <w:t xml:space="preserve">pkt </w:t>
            </w:r>
            <w:r w:rsidRPr="00EE20CC">
              <w:rPr>
                <w:rStyle w:val="cf01"/>
                <w:rFonts w:ascii="Calibri" w:eastAsia="Verdana" w:hAnsi="Calibri" w:cs="Calibri"/>
                <w:sz w:val="24"/>
                <w:szCs w:val="24"/>
              </w:rPr>
              <w:t>4 lub 5 lub 6.</w:t>
            </w:r>
          </w:p>
        </w:tc>
        <w:tc>
          <w:tcPr>
            <w:tcW w:w="1940" w:type="dxa"/>
            <w:shd w:val="clear" w:color="auto" w:fill="auto"/>
          </w:tcPr>
          <w:p w14:paraId="7A6682A9" w14:textId="23A1DE46" w:rsidR="002C5D7E" w:rsidRDefault="002C5D7E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lastRenderedPageBreak/>
              <w:t>……. PLN brutto</w:t>
            </w:r>
          </w:p>
          <w:p w14:paraId="4BB33E80" w14:textId="77777777" w:rsidR="002F7642" w:rsidRPr="00EF73BB" w:rsidRDefault="002F7642" w:rsidP="002F7642">
            <w:pPr>
              <w:spacing w:before="60" w:line="276" w:lineRule="auto"/>
              <w:jc w:val="left"/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</w:pPr>
            <w:r w:rsidRPr="00EF73BB">
              <w:rPr>
                <w:rFonts w:ascii="Calibri" w:eastAsia="Calibri" w:hAnsi="Calibri"/>
                <w:b/>
                <w:sz w:val="24"/>
                <w:szCs w:val="22"/>
                <w:lang w:eastAsia="en-US"/>
              </w:rPr>
              <w:t>za godzinę pracy trenerki lub trenera</w:t>
            </w:r>
          </w:p>
          <w:p w14:paraId="5FD8D6C5" w14:textId="29993D07" w:rsidR="009C789F" w:rsidRPr="00C17ED9" w:rsidDel="005639F2" w:rsidRDefault="002F7642" w:rsidP="002F7642">
            <w:pPr>
              <w:spacing w:before="60" w:line="276" w:lineRule="auto"/>
              <w:jc w:val="left"/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</w:pPr>
            <w:r w:rsidRPr="003A3967">
              <w:rPr>
                <w:rFonts w:ascii="Calibri" w:eastAsia="Calibri" w:hAnsi="Calibri"/>
                <w:bCs/>
                <w:sz w:val="24"/>
                <w:szCs w:val="22"/>
                <w:lang w:eastAsia="en-US"/>
              </w:rPr>
              <w:lastRenderedPageBreak/>
              <w:t>Za 1 godzinę zajęć dydaktycznych prowadzonych w formie szkoleń uznaje się godzinę lekcyjną (45 minut).</w:t>
            </w:r>
          </w:p>
        </w:tc>
      </w:tr>
      <w:tr w:rsidR="009C789F" w:rsidRPr="005A059B" w14:paraId="3687B1C5" w14:textId="77777777" w:rsidTr="00EE20CC">
        <w:trPr>
          <w:trHeight w:val="1158"/>
        </w:trPr>
        <w:tc>
          <w:tcPr>
            <w:tcW w:w="735" w:type="dxa"/>
            <w:shd w:val="clear" w:color="auto" w:fill="auto"/>
          </w:tcPr>
          <w:p w14:paraId="47E6CD47" w14:textId="77777777" w:rsidR="009C789F" w:rsidRPr="005A059B" w:rsidRDefault="009C789F" w:rsidP="009C789F">
            <w:pPr>
              <w:numPr>
                <w:ilvl w:val="0"/>
                <w:numId w:val="1"/>
              </w:numPr>
              <w:spacing w:before="60" w:line="276" w:lineRule="auto"/>
              <w:ind w:hanging="438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  <w:tc>
          <w:tcPr>
            <w:tcW w:w="11500" w:type="dxa"/>
            <w:shd w:val="clear" w:color="auto" w:fill="auto"/>
          </w:tcPr>
          <w:p w14:paraId="68041841" w14:textId="4F9D3149" w:rsidR="00EE20CC" w:rsidRDefault="00EE20CC" w:rsidP="00EE20CC">
            <w:pPr>
              <w:pStyle w:val="Akapitzlist"/>
              <w:spacing w:before="240" w:after="240" w:line="276" w:lineRule="auto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E20CC">
              <w:rPr>
                <w:rFonts w:ascii="Calibri" w:eastAsia="Calibri" w:hAnsi="Calibri" w:cs="Calibri"/>
                <w:b/>
                <w:bCs/>
                <w:sz w:val="24"/>
                <w:szCs w:val="24"/>
                <w:lang w:eastAsia="en-US"/>
              </w:rPr>
              <w:t>Usługa doradztwa poszkoleniowego związanego bezpośrednio z działaniami szkoleniowymi</w:t>
            </w:r>
            <w:r w:rsidRPr="00EE20C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(przygotowanie merytoryczne i przeprowadzenia doradztwa)</w:t>
            </w:r>
            <w:r w:rsidR="002F764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"/>
            </w:r>
            <w:r w:rsidRPr="00EE20CC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14:paraId="3ECC69DD" w14:textId="77777777" w:rsidR="00EE20CC" w:rsidRPr="00D254D3" w:rsidRDefault="00EE20CC" w:rsidP="00EE20CC">
            <w:pPr>
              <w:spacing w:before="240" w:after="240" w:line="276" w:lineRule="auto"/>
              <w:jc w:val="left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D254D3">
              <w:rPr>
                <w:rFonts w:ascii="Calibri" w:eastAsia="Calibri" w:hAnsi="Calibri" w:cs="Calibri"/>
                <w:sz w:val="24"/>
                <w:szCs w:val="24"/>
                <w:lang w:eastAsia="en-US"/>
              </w:rPr>
              <w:t xml:space="preserve">Doradczynie lub doradcy </w:t>
            </w:r>
            <w:r w:rsidRPr="00D254D3">
              <w:rPr>
                <w:rFonts w:ascii="Calibri" w:hAnsi="Calibri" w:cs="Calibri"/>
                <w:sz w:val="24"/>
                <w:szCs w:val="24"/>
              </w:rPr>
              <w:t>do przeprowadzenia doradztwa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>, muszą posiadać udokumentowane:</w:t>
            </w:r>
          </w:p>
          <w:p w14:paraId="430614F5" w14:textId="77777777" w:rsidR="00EE20CC" w:rsidRPr="00D254D3" w:rsidRDefault="00EE20CC" w:rsidP="00EE20CC">
            <w:pPr>
              <w:spacing w:before="240" w:after="240" w:line="276" w:lineRule="auto"/>
              <w:jc w:val="left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lastRenderedPageBreak/>
              <w:t>1.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ab/>
              <w:t>co najmniej 180 godzin doświadczenia w doradztwie w zakresie dostępności, z uwzględnieniem uniwersalnego projektowania w okresie 3 lat przed przystąpieniem do prowadzenia działań merytorycznych w projekcie, lub</w:t>
            </w:r>
          </w:p>
          <w:p w14:paraId="5B5ED464" w14:textId="77777777" w:rsidR="00EE20CC" w:rsidRPr="00D254D3" w:rsidRDefault="00EE20CC" w:rsidP="00EE20CC">
            <w:pPr>
              <w:spacing w:before="240" w:after="240" w:line="276" w:lineRule="auto"/>
              <w:jc w:val="left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>2.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ab/>
              <w:t>doświadczenie w zakresie wykonanych co najmniej 25 audytów dostępności i przeprowadzenie minimum jednej ekspertyzy z zakresu projektowania uniwersalnego w okresie 3 lat przed przystąpieniem do prowadzenia działań merytorycznych w projekcie, lub</w:t>
            </w:r>
          </w:p>
          <w:p w14:paraId="6006F4EA" w14:textId="77777777" w:rsidR="00EE20CC" w:rsidRPr="00D254D3" w:rsidRDefault="00EE20CC" w:rsidP="00EE20CC">
            <w:pPr>
              <w:spacing w:before="240" w:after="240" w:line="276" w:lineRule="auto"/>
              <w:jc w:val="left"/>
              <w:rPr>
                <w:rStyle w:val="cf01"/>
              </w:rPr>
            </w:pP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>3.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ab/>
              <w:t>autorstwo co najmniej 5 publikacji na temat dostępności lub uniwersalnego projektowania oraz doświadczenie w przeprowadzeniu co najmniej 10 audytów dostępności w okresie 3 lat przed przystąpieniem do prowadzenia działań merytorycznych w projekcie, lub</w:t>
            </w:r>
            <w:r w:rsidRPr="00D254D3">
              <w:rPr>
                <w:rStyle w:val="cf01"/>
              </w:rPr>
              <w:t xml:space="preserve"> </w:t>
            </w:r>
          </w:p>
          <w:p w14:paraId="73BAF7C8" w14:textId="77777777" w:rsidR="00EE20CC" w:rsidRPr="00D254D3" w:rsidRDefault="00EE20CC" w:rsidP="00EE20CC">
            <w:pPr>
              <w:spacing w:before="240" w:after="240" w:line="276" w:lineRule="auto"/>
              <w:jc w:val="left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>4.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ab/>
              <w:t xml:space="preserve">co najmniej 5 letnie doświadczenie w zakresie projektowania, produkowania (tworzenia) lub wprowadzania do obrotu produktów lub usług objętych zakresem stosowania ustawy, w szczególności w zakresie: tworzenia lub komercjalizacji rozwiązań technologicznych, innowacji produktowych lub usługowych z branży cyfrowej, rozwoju usług cyfrowych, w tym e-commerce, tworzenia stron internetowych i aplikacji mobilnych; tworzenia architektury systemów AI, inżynierii oprogramowania lub innych pokrewnych specjalności, lub </w:t>
            </w:r>
          </w:p>
          <w:p w14:paraId="66C09955" w14:textId="77777777" w:rsidR="00EE20CC" w:rsidRPr="00D254D3" w:rsidRDefault="00EE20CC" w:rsidP="00EE20CC">
            <w:pPr>
              <w:spacing w:before="240" w:after="240" w:line="276" w:lineRule="auto"/>
              <w:jc w:val="left"/>
              <w:rPr>
                <w:rStyle w:val="cf01"/>
                <w:rFonts w:ascii="Calibri" w:hAnsi="Calibri" w:cs="Calibri"/>
                <w:sz w:val="24"/>
                <w:szCs w:val="24"/>
              </w:rPr>
            </w:pP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>5.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ab/>
              <w:t>co najmniej 3 letnie doświadczenie w zakresie dokonywania oceny zgodności odnoszącej się do produktów lub usług, w rozumieniu art. 2 pkt. 12 rozporządzenia Parlamentu Europejskiego i Rady (WE) nr 765/2008</w:t>
            </w:r>
            <w:r w:rsidRPr="00D254D3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3"/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, z 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lastRenderedPageBreak/>
              <w:t>normami zharmonizowanymi albo specyfikacjami technicznymi w rozumieniu art. 2 pkt 1 lit. c lub art. 2 pkt 4 rozporządzenia Parlamentu Europejskiego i Rady (UE) nr 1025/2012</w:t>
            </w:r>
            <w:r w:rsidRPr="00D254D3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4"/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 xml:space="preserve">  lub</w:t>
            </w:r>
          </w:p>
          <w:p w14:paraId="3E62916A" w14:textId="27598C11" w:rsidR="009C789F" w:rsidRPr="00EE20CC" w:rsidRDefault="00EE20CC" w:rsidP="00EE20CC">
            <w:pPr>
              <w:pStyle w:val="Akapitzlist"/>
              <w:spacing w:before="240" w:after="240" w:line="276" w:lineRule="auto"/>
              <w:ind w:left="0"/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>6.</w:t>
            </w:r>
            <w:r w:rsidRPr="00D254D3">
              <w:rPr>
                <w:rStyle w:val="cf01"/>
                <w:rFonts w:ascii="Calibri" w:hAnsi="Calibri" w:cs="Calibri"/>
                <w:sz w:val="24"/>
                <w:szCs w:val="24"/>
              </w:rPr>
              <w:tab/>
              <w:t>co najmniej 3 letnie doświadczenie w dokonywaniu oceny zgodności produktów lub usług z wymaganiami wynikającymi z prawa krajowego lub UE, w szczególności opracowywaniem dokumentacji technicznej produktów lub dokumentacji usług zawierającej informacje pozwalające na ocenę zgodności projektu, produkcji i działania produktu lub usługi z mającymi zastosowanie wymaganiami, w tym normami zharmonizowanymi lub specyfikacjami technicznymi stosowanymi do produktu lub usługi (Deklaracji zgodności).</w:t>
            </w:r>
          </w:p>
        </w:tc>
        <w:tc>
          <w:tcPr>
            <w:tcW w:w="1940" w:type="dxa"/>
            <w:shd w:val="clear" w:color="auto" w:fill="auto"/>
          </w:tcPr>
          <w:p w14:paraId="6B104FCD" w14:textId="5968386D" w:rsidR="002C5D7E" w:rsidRDefault="002C5D7E" w:rsidP="00157B49">
            <w:pPr>
              <w:spacing w:before="60" w:line="276" w:lineRule="auto"/>
              <w:jc w:val="left"/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4"/>
                <w:szCs w:val="22"/>
                <w:lang w:eastAsia="en-US"/>
              </w:rPr>
              <w:lastRenderedPageBreak/>
              <w:t>…….. PLN brutto</w:t>
            </w:r>
          </w:p>
          <w:p w14:paraId="6936C397" w14:textId="77777777" w:rsidR="002F7642" w:rsidRDefault="002F7642" w:rsidP="002F7642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  <w:r w:rsidRPr="0096086D"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  <w:t>za godzinę doradztwa</w:t>
            </w:r>
          </w:p>
          <w:p w14:paraId="74FA6AB8" w14:textId="77777777" w:rsidR="002F7642" w:rsidRDefault="002F7642" w:rsidP="002F7642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b/>
                <w:sz w:val="24"/>
                <w:szCs w:val="24"/>
                <w:lang w:eastAsia="en-US"/>
              </w:rPr>
            </w:pPr>
          </w:p>
          <w:p w14:paraId="45DD0024" w14:textId="77777777" w:rsidR="002F7642" w:rsidRPr="00C17ED9" w:rsidRDefault="002F7642" w:rsidP="002F7642">
            <w:pPr>
              <w:spacing w:before="240" w:after="240" w:line="276" w:lineRule="auto"/>
              <w:contextualSpacing/>
              <w:jc w:val="left"/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</w:pPr>
            <w:r w:rsidRPr="003A3967">
              <w:rPr>
                <w:rFonts w:ascii="Calibri" w:eastAsia="Calibri" w:hAnsi="Calibri" w:cs="Calibri"/>
                <w:bCs/>
                <w:sz w:val="24"/>
                <w:szCs w:val="24"/>
                <w:lang w:eastAsia="en-US"/>
              </w:rPr>
              <w:lastRenderedPageBreak/>
              <w:t>Za 1 godzinę doradztwa uznaje się godzinę zegarową (60 minut).</w:t>
            </w:r>
          </w:p>
          <w:p w14:paraId="4A5B431D" w14:textId="77777777" w:rsidR="002F7642" w:rsidRDefault="002F7642" w:rsidP="002F7642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  <w:p w14:paraId="27FD2BD7" w14:textId="77777777" w:rsidR="009C789F" w:rsidDel="005639F2" w:rsidRDefault="009C789F" w:rsidP="00157B49">
            <w:pPr>
              <w:spacing w:before="60" w:line="276" w:lineRule="auto"/>
              <w:jc w:val="left"/>
              <w:rPr>
                <w:rFonts w:ascii="Calibri" w:eastAsia="Calibri" w:hAnsi="Calibri"/>
                <w:sz w:val="24"/>
                <w:szCs w:val="22"/>
                <w:lang w:eastAsia="en-US"/>
              </w:rPr>
            </w:pPr>
          </w:p>
        </w:tc>
      </w:tr>
    </w:tbl>
    <w:p w14:paraId="1A63E435" w14:textId="38032A06" w:rsidR="008D7467" w:rsidRDefault="009C789F" w:rsidP="00505D97">
      <w:pPr>
        <w:pStyle w:val="Nagwek2"/>
        <w:spacing w:before="240" w:after="240" w:line="276" w:lineRule="auto"/>
      </w:pPr>
      <w:r w:rsidRPr="00EF73BB">
        <w:lastRenderedPageBreak/>
        <w:t>Zakres tematyczny programów szkoleniowych:</w:t>
      </w:r>
    </w:p>
    <w:p w14:paraId="05368E03" w14:textId="77777777" w:rsidR="008D7467" w:rsidRPr="005F5904" w:rsidRDefault="008D7467" w:rsidP="005F5904">
      <w:pPr>
        <w:spacing w:after="200" w:line="276" w:lineRule="auto"/>
        <w:jc w:val="left"/>
        <w:rPr>
          <w:rFonts w:ascii="Calibri" w:hAnsi="Calibri"/>
          <w:b/>
          <w:sz w:val="28"/>
          <w:szCs w:val="28"/>
        </w:rPr>
      </w:pPr>
      <w:r w:rsidRPr="005F5904">
        <w:rPr>
          <w:rFonts w:ascii="Calibri" w:hAnsi="Calibri"/>
          <w:b/>
          <w:sz w:val="28"/>
          <w:szCs w:val="28"/>
        </w:rPr>
        <w:t>Program szkolenia</w:t>
      </w:r>
    </w:p>
    <w:p w14:paraId="23AF092A" w14:textId="6D37D0C5" w:rsidR="008D7467" w:rsidRPr="005F5904" w:rsidRDefault="008D7467" w:rsidP="005F5904">
      <w:pPr>
        <w:pStyle w:val="Akapitzlist"/>
        <w:numPr>
          <w:ilvl w:val="0"/>
          <w:numId w:val="25"/>
        </w:numPr>
        <w:spacing w:line="276" w:lineRule="auto"/>
        <w:jc w:val="left"/>
        <w:rPr>
          <w:rFonts w:ascii="Calibri" w:hAnsi="Calibri"/>
          <w:kern w:val="2"/>
          <w:sz w:val="28"/>
          <w:szCs w:val="28"/>
          <w:lang w:eastAsia="en-US"/>
        </w:rPr>
      </w:pPr>
      <w:r w:rsidRPr="005F5904">
        <w:rPr>
          <w:rFonts w:ascii="Calibri" w:hAnsi="Calibri"/>
          <w:kern w:val="2"/>
          <w:sz w:val="28"/>
          <w:szCs w:val="28"/>
          <w:lang w:eastAsia="en-US"/>
        </w:rPr>
        <w:t xml:space="preserve">Program szkoleniowy </w:t>
      </w:r>
      <w:r w:rsidRPr="005F5904">
        <w:rPr>
          <w:rFonts w:ascii="Calibri" w:hAnsi="Calibri"/>
          <w:b/>
          <w:kern w:val="2"/>
          <w:sz w:val="28"/>
          <w:szCs w:val="28"/>
          <w:lang w:eastAsia="en-US"/>
        </w:rPr>
        <w:t>części ogólnej</w:t>
      </w:r>
      <w:r w:rsidRPr="005F5904">
        <w:rPr>
          <w:rFonts w:ascii="Calibri" w:hAnsi="Calibri"/>
          <w:kern w:val="2"/>
          <w:sz w:val="28"/>
          <w:szCs w:val="28"/>
          <w:lang w:eastAsia="en-US"/>
        </w:rPr>
        <w:t xml:space="preserve"> obejmuje co najmniej poniższe zagadnienia:</w:t>
      </w:r>
    </w:p>
    <w:p w14:paraId="0CFF47A2" w14:textId="46FD8C38" w:rsidR="008D7467" w:rsidRPr="005F5904" w:rsidRDefault="008D7467" w:rsidP="005F5904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Blok 1. Niepełnosprawność i szczególne potrzeby</w:t>
      </w:r>
    </w:p>
    <w:p w14:paraId="3EF5AB25" w14:textId="77777777" w:rsidR="008D7467" w:rsidRPr="005F5904" w:rsidRDefault="008D7467" w:rsidP="005F5904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b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Minimalny zakres zagadnień powinien uwzględniać poniższe:</w:t>
      </w:r>
    </w:p>
    <w:p w14:paraId="71B39031" w14:textId="1933CD65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Czym jest niepełnosprawność?</w:t>
      </w:r>
    </w:p>
    <w:p w14:paraId="10AF9B45" w14:textId="15889724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Definicje niepełnosprawności. </w:t>
      </w:r>
    </w:p>
    <w:p w14:paraId="3BE45619" w14:textId="43E0E5D5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Medyczny model niepełnosprawności – na podstawie Ustawy o rehabilitacji zawodowej i społecznej oraz zatrudnianiu osób niepełnosprawnych.</w:t>
      </w:r>
    </w:p>
    <w:p w14:paraId="41C7C11E" w14:textId="31E27278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lastRenderedPageBreak/>
        <w:t>Prawoczłowieczy model niepełnosprawności – na podstawie Konwencji o prawach osób niepełnosprawnych.</w:t>
      </w:r>
    </w:p>
    <w:p w14:paraId="2748730B" w14:textId="40E8FB63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Porządek prawny w kontekście definicji niepełnosprawności – przy uwzględnieniu: Konstytucji RP, ratyfikowanych umów międzynarodowych – jak Konwencja o prawach osób niepełnosprawnych, ustaw – jak ustawa, Ustawa o zapewnianiu dostępności osobom ze szczególnymi potrzebami, Rozporządzeń UE.</w:t>
      </w:r>
    </w:p>
    <w:p w14:paraId="217229FD" w14:textId="5F86C7F1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Niepełnosprawność a szczególne potrzeby (z uwzględnieniem definicji z ustawy oraz odesłania do ustawy o zapewnianiu dostępności osobom ze szczególnymi potrzebami), w dostępie do produktów i usług. </w:t>
      </w:r>
    </w:p>
    <w:p w14:paraId="33C1A335" w14:textId="6E60E800" w:rsidR="008D7467" w:rsidRPr="005F5904" w:rsidRDefault="008D7467" w:rsidP="005F5904">
      <w:pPr>
        <w:pStyle w:val="Akapitzlist"/>
        <w:numPr>
          <w:ilvl w:val="0"/>
          <w:numId w:val="35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Szczególne potrzeby a dostępność produktów i usług – omówienie na bazie wybranych produktów lub usług (na przykład adekwatnie do produktów i usług oferowanych przez przedsiębiorców zatrudniających osoby uczestniczące).</w:t>
      </w:r>
    </w:p>
    <w:p w14:paraId="2A98F791" w14:textId="07F90A3A" w:rsidR="008D7467" w:rsidRPr="005F5904" w:rsidRDefault="008D7467" w:rsidP="00505D97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Blok 2. Dostępność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 </w:t>
      </w:r>
    </w:p>
    <w:p w14:paraId="495E48D9" w14:textId="77777777" w:rsidR="008D7467" w:rsidRPr="005F5904" w:rsidRDefault="008D7467" w:rsidP="005F5904">
      <w:pPr>
        <w:spacing w:line="276" w:lineRule="auto"/>
        <w:jc w:val="left"/>
        <w:rPr>
          <w:rFonts w:ascii="Calibri" w:hAnsi="Calibri"/>
          <w:b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Minimalny zakres zagadnień powinien uwzględniać poniższe:</w:t>
      </w:r>
    </w:p>
    <w:p w14:paraId="411D7823" w14:textId="5AE99906" w:rsidR="008D7467" w:rsidRPr="005F5904" w:rsidRDefault="008D7467" w:rsidP="005F5904">
      <w:pPr>
        <w:pStyle w:val="Akapitzlist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Ogólne zagadnienia dotyczące dostępności (czym jest dostępność, dostępność w rozumieniu Konwencji i Deklaracji Sztokholmskiej, dostępność w rozumieniu Ustawy o zapewnianiu dostępności osobom ze szczególnymi potrzebami, Ustawy Prawo zamówień publicznych, Dyrektywy EAA, ustawy, w tym względny i bezwzględny kontekst dostępności).</w:t>
      </w:r>
    </w:p>
    <w:p w14:paraId="22969F3F" w14:textId="3D668EBF" w:rsidR="008D7467" w:rsidRPr="005F5904" w:rsidRDefault="008D7467" w:rsidP="005F5904">
      <w:pPr>
        <w:pStyle w:val="Akapitzlist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Sposoby zapewniania dostępności (usuwanie barier, uniwersalne projektowanie, racjonalne usprawnienia). </w:t>
      </w:r>
    </w:p>
    <w:p w14:paraId="77640DB5" w14:textId="77777777" w:rsidR="00FF33A0" w:rsidRPr="005F5904" w:rsidRDefault="008D7467" w:rsidP="005F5904">
      <w:pPr>
        <w:pStyle w:val="Akapitzlist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Zasady projektowania uniwersalnego, ze wskazaniem przykładów.</w:t>
      </w:r>
    </w:p>
    <w:p w14:paraId="3CE675A0" w14:textId="721A560C" w:rsidR="008D7467" w:rsidRPr="005F5904" w:rsidRDefault="008D7467" w:rsidP="005F5904">
      <w:pPr>
        <w:pStyle w:val="Akapitzlist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Projektowanie uniwersalne a racjonalne usprawnienia, ze wskazaniem przykładów.</w:t>
      </w:r>
    </w:p>
    <w:p w14:paraId="703B3F88" w14:textId="40E062B1" w:rsidR="008D7467" w:rsidRPr="005F5904" w:rsidRDefault="008D7467" w:rsidP="005F5904">
      <w:pPr>
        <w:pStyle w:val="Akapitzlist"/>
        <w:numPr>
          <w:ilvl w:val="0"/>
          <w:numId w:val="33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b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Rodzaje dostępności, ze szczególnym uwzględnieniem dostępności usług, produktów oraz architektonicznej, cyfrowej i informacyjno - komunikacyjnej – w odniesieniu do wymogów Konwencji, Ustawy o zapewnianiu dostępności osobom ze szczególnymi potrzebami, Ustawy o dostępności cyfrowej stron internetowych i</w:t>
      </w: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 xml:space="preserve"> 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>aplikacji mobilnych podmiotów publicznych, ustawy – ze wskazaniem przykładów.</w:t>
      </w:r>
    </w:p>
    <w:p w14:paraId="2C013E64" w14:textId="2BABF6AD" w:rsidR="008D7467" w:rsidRPr="005F5904" w:rsidRDefault="008D7467" w:rsidP="005F5904">
      <w:pPr>
        <w:pStyle w:val="Akapitzlist"/>
        <w:numPr>
          <w:ilvl w:val="0"/>
          <w:numId w:val="33"/>
        </w:numPr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Korzyści biznesowe przedsiębiorców z wdrażania produktów i usług spełniających europejskie standardy dostępności oraz zgodnych z zasadami projektowania uniwersalnego:</w:t>
      </w:r>
    </w:p>
    <w:p w14:paraId="46C35114" w14:textId="77777777" w:rsidR="008D7467" w:rsidRPr="005F5904" w:rsidRDefault="008D7467" w:rsidP="008D7467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korzyści skali, </w:t>
      </w:r>
    </w:p>
    <w:p w14:paraId="4E0A426F" w14:textId="77777777" w:rsidR="008D7467" w:rsidRPr="005F5904" w:rsidRDefault="008D7467" w:rsidP="008D7467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zwiększenia konkurencyjności, </w:t>
      </w:r>
    </w:p>
    <w:p w14:paraId="7AA371D0" w14:textId="77777777" w:rsidR="008D7467" w:rsidRPr="005F5904" w:rsidRDefault="008D7467" w:rsidP="005F59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left"/>
        <w:rPr>
          <w:rFonts w:ascii="Calibri" w:eastAsiaTheme="minorHAnsi" w:hAnsi="Calibri"/>
          <w:color w:val="000000"/>
          <w:sz w:val="24"/>
          <w:szCs w:val="24"/>
          <w:lang w:eastAsia="en-US"/>
        </w:rPr>
      </w:pPr>
      <w:r w:rsidRPr="005F5904">
        <w:rPr>
          <w:rFonts w:ascii="Calibri" w:eastAsiaTheme="minorHAnsi" w:hAnsi="Calibri"/>
          <w:color w:val="000000"/>
          <w:sz w:val="24"/>
          <w:szCs w:val="24"/>
          <w:lang w:eastAsia="en-US"/>
        </w:rPr>
        <w:t xml:space="preserve">rozbudowa grupy docelowej poprzez wdrożenie zasad dostępności do projektowania produktów i usług, </w:t>
      </w:r>
    </w:p>
    <w:p w14:paraId="6B52426E" w14:textId="77777777" w:rsidR="008D7467" w:rsidRPr="005F5904" w:rsidRDefault="008D7467" w:rsidP="008D7467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ułatwienia handlu transgranicznego oraz transgranicznej mobilności, </w:t>
      </w:r>
    </w:p>
    <w:p w14:paraId="4DCB5831" w14:textId="77777777" w:rsidR="008D7467" w:rsidRPr="005F5904" w:rsidRDefault="008D7467" w:rsidP="008D7467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lastRenderedPageBreak/>
        <w:t xml:space="preserve">pomoc przedsiębiorcom w koncentrowaniu zasobów na innowacjach zamiast przeznaczania ich na wydatki wynikające z rozdrobnienia przepisów w UE, </w:t>
      </w:r>
    </w:p>
    <w:p w14:paraId="0D032EBD" w14:textId="77777777" w:rsidR="008D7467" w:rsidRPr="005F5904" w:rsidRDefault="008D7467" w:rsidP="005F59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left"/>
        <w:rPr>
          <w:rFonts w:ascii="Calibri" w:eastAsiaTheme="minorHAnsi" w:hAnsi="Calibri"/>
          <w:color w:val="000000"/>
          <w:sz w:val="24"/>
          <w:szCs w:val="24"/>
          <w:lang w:eastAsia="en-US"/>
        </w:rPr>
      </w:pPr>
      <w:r w:rsidRPr="005F5904">
        <w:rPr>
          <w:rFonts w:ascii="Calibri" w:eastAsiaTheme="minorHAnsi" w:hAnsi="Calibri"/>
          <w:color w:val="000000"/>
          <w:sz w:val="24"/>
          <w:szCs w:val="24"/>
          <w:lang w:eastAsia="en-US"/>
        </w:rPr>
        <w:t>założenia programu rządowego Dostępność Plus z uwzględnieniem korzyści dla przedsiębiorców,</w:t>
      </w:r>
    </w:p>
    <w:p w14:paraId="4E24C175" w14:textId="77777777" w:rsidR="008D7467" w:rsidRPr="005F5904" w:rsidRDefault="008D7467" w:rsidP="005F5904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left"/>
        <w:rPr>
          <w:rFonts w:ascii="Calibri" w:eastAsiaTheme="minorHAnsi" w:hAnsi="Calibri"/>
          <w:color w:val="000000"/>
          <w:sz w:val="24"/>
          <w:szCs w:val="24"/>
          <w:lang w:eastAsia="en-US"/>
        </w:rPr>
      </w:pPr>
      <w:r w:rsidRPr="005F5904">
        <w:rPr>
          <w:rFonts w:ascii="Calibri" w:eastAsiaTheme="minorHAnsi" w:hAnsi="Calibri"/>
          <w:color w:val="000000"/>
          <w:sz w:val="24"/>
          <w:szCs w:val="24"/>
          <w:lang w:eastAsia="en-US"/>
        </w:rPr>
        <w:t>korzyści z komercjalizacji rozwiązań z zakresu technologii, asystujących/kompensacyjnych oraz projektowania uniwersalnego,</w:t>
      </w:r>
    </w:p>
    <w:p w14:paraId="731E7334" w14:textId="77777777" w:rsidR="008D7467" w:rsidRPr="005F5904" w:rsidRDefault="008D7467" w:rsidP="008D7467">
      <w:pPr>
        <w:pStyle w:val="Akapitzlist"/>
        <w:numPr>
          <w:ilvl w:val="0"/>
          <w:numId w:val="24"/>
        </w:numPr>
        <w:tabs>
          <w:tab w:val="left" w:pos="284"/>
          <w:tab w:val="left" w:pos="426"/>
        </w:tabs>
        <w:spacing w:after="20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korzyści dla mikroprzedsiębiorstw w dobrowolnym dostosowywaniu produktów i usług do ustawowych wymogów dostępności. </w:t>
      </w:r>
    </w:p>
    <w:p w14:paraId="71D8F79B" w14:textId="620BB613" w:rsidR="008D7467" w:rsidRPr="005F5904" w:rsidRDefault="008D7467" w:rsidP="00613F3C">
      <w:pPr>
        <w:pStyle w:val="Akapitzlist"/>
        <w:numPr>
          <w:ilvl w:val="0"/>
          <w:numId w:val="33"/>
        </w:numPr>
        <w:spacing w:before="240" w:after="240" w:line="276" w:lineRule="auto"/>
        <w:ind w:left="714" w:hanging="357"/>
        <w:contextualSpacing w:val="0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Możliwości uzyskania wsparcia,  w tym bezzwrotnego oraz pod tytułem zwrotnym</w:t>
      </w:r>
      <w:r w:rsidRPr="005F5904">
        <w:rPr>
          <w:rStyle w:val="Odwoanieprzypisudolnego"/>
          <w:rFonts w:ascii="Calibri" w:hAnsi="Calibri"/>
          <w:kern w:val="2"/>
          <w:sz w:val="24"/>
          <w:szCs w:val="24"/>
          <w:lang w:eastAsia="en-US"/>
        </w:rPr>
        <w:footnoteReference w:id="5"/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 przy wdrażaniu usług i produktów zgodnych z zasadami projektowania uniwersalnego (źródła finansowania: unijne i krajowe, przydatne linki itp.)</w:t>
      </w:r>
      <w:r w:rsidRPr="005F5904">
        <w:rPr>
          <w:rStyle w:val="Odwoanieprzypisudolnego"/>
          <w:rFonts w:ascii="Calibri" w:hAnsi="Calibri"/>
          <w:kern w:val="2"/>
          <w:sz w:val="24"/>
          <w:szCs w:val="24"/>
          <w:lang w:eastAsia="en-US"/>
        </w:rPr>
        <w:footnoteReference w:id="6"/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>.</w:t>
      </w:r>
    </w:p>
    <w:p w14:paraId="2EE37EAE" w14:textId="77777777" w:rsidR="008D7467" w:rsidRPr="005F5904" w:rsidRDefault="008D7467" w:rsidP="00613F3C">
      <w:pPr>
        <w:pStyle w:val="Akapitzlist"/>
        <w:numPr>
          <w:ilvl w:val="0"/>
          <w:numId w:val="25"/>
        </w:numPr>
        <w:spacing w:before="240" w:after="240" w:line="276" w:lineRule="auto"/>
        <w:contextualSpacing w:val="0"/>
        <w:jc w:val="left"/>
        <w:rPr>
          <w:rFonts w:ascii="Calibri" w:hAnsi="Calibri"/>
          <w:kern w:val="2"/>
          <w:sz w:val="28"/>
          <w:szCs w:val="28"/>
          <w:lang w:eastAsia="en-US"/>
        </w:rPr>
      </w:pPr>
      <w:r w:rsidRPr="005F5904">
        <w:rPr>
          <w:rFonts w:ascii="Calibri" w:hAnsi="Calibri"/>
          <w:kern w:val="2"/>
          <w:sz w:val="28"/>
          <w:szCs w:val="28"/>
          <w:lang w:eastAsia="en-US"/>
        </w:rPr>
        <w:t xml:space="preserve">Program szkoleniowy </w:t>
      </w:r>
      <w:r w:rsidRPr="005F5904">
        <w:rPr>
          <w:rFonts w:ascii="Calibri" w:hAnsi="Calibri"/>
          <w:b/>
          <w:kern w:val="2"/>
          <w:sz w:val="28"/>
          <w:szCs w:val="28"/>
          <w:lang w:eastAsia="en-US"/>
        </w:rPr>
        <w:t>części specjalistycznej – działania szkoleniowe związane z wymaganiami wynikającymi z ustawy - blok 3.</w:t>
      </w:r>
    </w:p>
    <w:p w14:paraId="687FB78B" w14:textId="7A7321D9" w:rsidR="008D7467" w:rsidRPr="005F5904" w:rsidRDefault="008D7467" w:rsidP="005F5904">
      <w:pPr>
        <w:tabs>
          <w:tab w:val="left" w:pos="0"/>
          <w:tab w:val="left" w:pos="284"/>
        </w:tabs>
        <w:spacing w:before="240" w:after="24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Część teoretyczna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>, obejmuje co najmniej poniższe zagadnienia:</w:t>
      </w:r>
    </w:p>
    <w:p w14:paraId="5ADFF26D" w14:textId="780A0A4A" w:rsidR="008D7467" w:rsidRPr="005F5904" w:rsidRDefault="008D7467" w:rsidP="00505D97">
      <w:pPr>
        <w:spacing w:before="24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Blok 3 Otoczenie prawne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 </w:t>
      </w:r>
    </w:p>
    <w:p w14:paraId="5C641DEE" w14:textId="77777777" w:rsidR="008D7467" w:rsidRPr="005F5904" w:rsidRDefault="008D7467" w:rsidP="005F5904">
      <w:pPr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3a otoczenie prawne – ogólne</w:t>
      </w:r>
      <w:r w:rsidRPr="005F5904">
        <w:rPr>
          <w:rStyle w:val="Odwoanieprzypisudolnego"/>
          <w:rFonts w:ascii="Calibri" w:hAnsi="Calibri"/>
          <w:b/>
          <w:kern w:val="2"/>
          <w:sz w:val="24"/>
          <w:szCs w:val="24"/>
          <w:lang w:eastAsia="en-US"/>
        </w:rPr>
        <w:footnoteReference w:id="7"/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. </w:t>
      </w:r>
    </w:p>
    <w:p w14:paraId="07DD279B" w14:textId="77777777" w:rsidR="008D7467" w:rsidRPr="005F5904" w:rsidRDefault="008D7467" w:rsidP="005F5904">
      <w:pPr>
        <w:spacing w:line="276" w:lineRule="auto"/>
        <w:jc w:val="left"/>
        <w:rPr>
          <w:rFonts w:ascii="Calibri" w:hAnsi="Calibri"/>
          <w:b/>
          <w:kern w:val="2"/>
          <w:sz w:val="24"/>
          <w:szCs w:val="24"/>
          <w:highlight w:val="yellow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lastRenderedPageBreak/>
        <w:t>Minimalny zakres zagadnień powinien uwzględniać poniższe:</w:t>
      </w:r>
    </w:p>
    <w:p w14:paraId="4A450740" w14:textId="1B704659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Konstytucja Rzeczypospolitej Polskiej (aspekty praw człowieka).</w:t>
      </w:r>
    </w:p>
    <w:p w14:paraId="553406F4" w14:textId="142DDC1D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Konwencja o prawach osób niepełnosprawnych.</w:t>
      </w:r>
    </w:p>
    <w:p w14:paraId="47FB9D46" w14:textId="226F4E28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Ustawa o zapewnianiu dostępności osobom ze szczególnymi potrzebami. </w:t>
      </w:r>
    </w:p>
    <w:p w14:paraId="4084BEFA" w14:textId="140DBEB9" w:rsidR="008D67DD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Ustawa z dnia 4 kwietnia 2019 r. o dostępności cyfrowej stron internetowych i aplikacji mobilnych </w:t>
      </w:r>
      <w:r w:rsidRPr="005F5904">
        <w:rPr>
          <w:rFonts w:ascii="Calibri" w:eastAsiaTheme="minorHAnsi" w:hAnsi="Calibri" w:cs="CIDFont+F2"/>
          <w:sz w:val="24"/>
          <w:szCs w:val="24"/>
          <w:lang w:eastAsia="en-US"/>
        </w:rPr>
        <w:t>podmiotów publicznych (Dz. U. z 2019 r. poz. 848)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>.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ab/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ab/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ab/>
      </w:r>
    </w:p>
    <w:p w14:paraId="1ACD7015" w14:textId="7E437B05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o języku migowym i innych formach komunikowania się.</w:t>
      </w:r>
    </w:p>
    <w:p w14:paraId="56518D73" w14:textId="46629F99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11 września 2019 r. - Prawo zamówień publicznych (Dz. U. z 2023 r. poz. 1605 z późn. zm.) z uwzględnieniem przepisów Dyrektywy Parlamentu Europejskiego i Rady 2014/25/UE z dnia 26 lutego 2014 r. w sprawie udzielania zamówień przez podmioty działające w sektorach gospodarki wodnej, energetyki, transportu i usług pocztowych, uchylająca dyrektywę 2004/17/WE (Dz.U. L 94 z 28.3.2014, s. 243).</w:t>
      </w:r>
    </w:p>
    <w:p w14:paraId="470BD661" w14:textId="3A3696D0" w:rsidR="00711234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7 lipca 1994 r. Prawo budowlane (Dz. U. z 2023 r. poz. 682 z późn. zm.).</w:t>
      </w:r>
    </w:p>
    <w:p w14:paraId="1C2B1FBC" w14:textId="3E9A7874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30 maja 2014 r. o prawach konsumenta (Dz. U. z 2023 r. poz. 2759 z późn. zm.).</w:t>
      </w:r>
    </w:p>
    <w:p w14:paraId="3D6D2CE3" w14:textId="4A7208B0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18 lipca 2002 r. o świadczeniu usług drogą elektroniczną (Dz. U. z 2020 r. poz. 344).</w:t>
      </w:r>
    </w:p>
    <w:p w14:paraId="205FE625" w14:textId="68B575C4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23 kwietnia 1964 r. Kodeks cywilny (Dz. U. z 2023 r. poz. 1610 z późn. zm.).</w:t>
      </w:r>
    </w:p>
    <w:p w14:paraId="1A0CDF94" w14:textId="19338BF3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Dyrektywa Parlamentu Europejskiego i Rady (UE) 2019/882 z dnia 17 kwietnia 2019 r. w sprawie wymogów dostępności produktów i usług.  </w:t>
      </w:r>
    </w:p>
    <w:p w14:paraId="7AE9E4D6" w14:textId="421984A6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Ustawa.</w:t>
      </w:r>
    </w:p>
    <w:p w14:paraId="79FCEF28" w14:textId="472BDCDE" w:rsidR="008D7467" w:rsidRPr="005F5904" w:rsidRDefault="008D7467" w:rsidP="005F5904">
      <w:pPr>
        <w:pStyle w:val="Akapitzlist"/>
        <w:numPr>
          <w:ilvl w:val="0"/>
          <w:numId w:val="31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Wytyczne dotyczące realizacji zasad równościowych w ramach funduszy unijnych na lata 2021-2027, Załącznik nr 2 Standardy dostępności dla polityki spójności 2021-2027.</w:t>
      </w:r>
    </w:p>
    <w:p w14:paraId="776FD6D3" w14:textId="3439B411" w:rsidR="008D7467" w:rsidRPr="005F5904" w:rsidRDefault="008D7467" w:rsidP="005F5904">
      <w:pPr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3b otoczenie prawne – szczegółowe</w:t>
      </w:r>
      <w:r w:rsidRPr="005F5904">
        <w:rPr>
          <w:rStyle w:val="Odwoanieprzypisudolnego"/>
          <w:rFonts w:ascii="Calibri" w:hAnsi="Calibri"/>
          <w:kern w:val="2"/>
          <w:sz w:val="24"/>
          <w:szCs w:val="24"/>
          <w:lang w:eastAsia="en-US"/>
        </w:rPr>
        <w:footnoteReference w:id="8"/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 </w:t>
      </w:r>
    </w:p>
    <w:p w14:paraId="18916241" w14:textId="77777777" w:rsidR="008D7467" w:rsidRPr="005F5904" w:rsidRDefault="008D7467" w:rsidP="005F5904">
      <w:pPr>
        <w:spacing w:line="276" w:lineRule="auto"/>
        <w:jc w:val="left"/>
        <w:rPr>
          <w:rFonts w:ascii="Calibri" w:hAnsi="Calibri"/>
          <w:b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Minimalny zakres zagadnień powinien uwzględniać poniższe:</w:t>
      </w:r>
    </w:p>
    <w:p w14:paraId="1C7305FF" w14:textId="4B6A5BBA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Prawo telekomunikacyjne z uwzględnieniem przepisów dyrektywy Parlamentu Europejskiego i Rady (UE) 2018/1972 z 11 grudnia 2018 r. ustanawiającej Europejski kodeks łączności elektronicznej. </w:t>
      </w:r>
    </w:p>
    <w:p w14:paraId="03B9CBD3" w14:textId="46BF7A91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lastRenderedPageBreak/>
        <w:t>Ustawa z dnia 29 grudnia 1992 r. o radiofonii i telewizji (Dz. U. z 2022 r. poz. 1722 z późn. zm.), z uwzględnieniem Dyrektywy Parlamentu Europejskiego i Rady 2010/13/UE z dnia 10 marca 2010 r. w sprawie koordynacji niektórych przepisów ustawowych. wykonawczych i administracyjnych państw członkowskich dotyczących świadczenia audiowizualnych usług medialnych (dyrektywa o audiowizualnych usługach medialnych) (wersja ujednolicona) (Dz. U. UE. L. z 2010 r. Nr 95, str. 1 z późn. zm.).</w:t>
      </w:r>
    </w:p>
    <w:p w14:paraId="09CD1C5F" w14:textId="09778406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28 marca 2003 r. o transporcie kolejowym (Dz. U. z 2023 r. poz. 1786 z późn. zm.) z uwzględnieniem przepisów Rozporządzenia Parlamentu Europejskiego i Rady (UE) 2021/ z dnia 29 kwietnia 2021 roku  dotyczącego praw i obowiązków pasażerów w ruchu kolejowym (wersja przekształcona) oraz Dyrektywy Parlamentu Europejskiego i Rady (UE) 2016/797 z dnia 11 maja 2016 r. w sprawie interoperacyjności systemu kolei w Unii Europejskiej (wersja przekształcona) (Dz. U. UE. L. z 2016 r. Nr 138, str. 44 z późn. zm.).</w:t>
      </w:r>
    </w:p>
    <w:p w14:paraId="1CC61D44" w14:textId="21E677B0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3 lipca 2002 r. - Prawo lotnicze (Dz. U. z 2023 r. poz. 2110) z uwzględnieniem przepisów Rozporządzenia (WE) nr 261/2004 Parlamentu Europejskiego i Rady z dnia 11 lutego 2004 r. ustanawiającego wspólne zasady odszkodowania i pomocy dla pasażerów w przypadku odmowy przyjęcia na pokład albo odwołania lub dużego opóźnienia lotów, uchylającego Rozporządzenie (EWG) nr 295/91 (Dz.U. L 46 z 17.2.2004, s. 1) oraz Rozporządzenie (WE) nr 1107/2006 Parlamentu Europejskiego i Rady z dnia 5 lipca 2006 r. w sprawie praw osób niepełnosprawnych oraz osób o ograniczonej sprawności ruchowej podróżujących drogą lotniczą (Dz.U. L 204 z 26.7.2006, s. 1).</w:t>
      </w:r>
    </w:p>
    <w:p w14:paraId="775D6861" w14:textId="54545C96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18 września 2001 r. Kodeks morski (Dz. U. z 2023 r. poz. 1309) z uwzględnieniem przepisów Rozporządzenia Parlamentu Europejskiego i Rady (UE) nr 1177/2010 z dnia 24 listopada 2010 r. o prawach pasażerów podróżujących drogą morską i drogą wodną śródlądową oraz zmieniającego rozporządzenie (WE) nr 2006/2004 (Dz.U. L 334 z 17.12.2010, s. 1).</w:t>
      </w:r>
    </w:p>
    <w:p w14:paraId="557A57A9" w14:textId="4CC921FF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16 grudnia 2010 r. o publicznym transporcie zbiorowym (Dz. U. z 2023 r. poz. 2778) z uwzględnieniem przepisów Rozporządzenia Parlamentu Europejskiego i Rady (UE) nr 181/2011 z dnia 16 lutego 2011 r. dotyczącego praw pasażerów w transporcie autobusowym i autokarowym oraz zmieniającego Rozporządzenie (WE) nr 2006/2004 (Dz.U. L 55 z 28.2.2011, s. 1)</w:t>
      </w:r>
    </w:p>
    <w:p w14:paraId="5181C323" w14:textId="189B9D81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12 maja 2011 r. o kredycie konsumenckim (Dz. U. z 2023 r. poz. 1028 z późn. zm.).</w:t>
      </w:r>
    </w:p>
    <w:p w14:paraId="7A280042" w14:textId="24F09D0F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23 marca 2017 r. o kredycie hipotecznym oraz o nadzorze nad pośrednikami kredytu hipotecznego i agentami (Dz. U. z 2022 r. poz. 2245 z późn. zm.).</w:t>
      </w:r>
    </w:p>
    <w:p w14:paraId="6B9EEF6A" w14:textId="4D451549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29 lipca 2005 r. o obrocie instrumentami finansowymi (Dz. U. z 2023 r. poz. 646 z późn. zm.).</w:t>
      </w:r>
    </w:p>
    <w:p w14:paraId="4B53B70F" w14:textId="645A5212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19 sierpnia 2011 r. o usługach płatniczych (Dz. U. z 2024 r. poz. 30).</w:t>
      </w:r>
    </w:p>
    <w:p w14:paraId="2B6C05B2" w14:textId="52036AC2" w:rsidR="008D7467" w:rsidRPr="005F5904" w:rsidRDefault="008D7467" w:rsidP="005F5904">
      <w:pPr>
        <w:pStyle w:val="Akapitzlist"/>
        <w:numPr>
          <w:ilvl w:val="0"/>
          <w:numId w:val="30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z dnia 13 kwietnia 2016 r. o systemach oceny zgodności i nadzoru rynku (Dz. U. z 2016 r. poz. 542).</w:t>
      </w:r>
    </w:p>
    <w:p w14:paraId="68D2622E" w14:textId="77777777" w:rsidR="008D7467" w:rsidRPr="005F5904" w:rsidRDefault="008D7467" w:rsidP="005F5904">
      <w:pPr>
        <w:pStyle w:val="Akapitzlist"/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</w:p>
    <w:p w14:paraId="6A0D6CB4" w14:textId="77777777" w:rsidR="008D7467" w:rsidRPr="005F5904" w:rsidRDefault="008D7467" w:rsidP="005F5904">
      <w:pPr>
        <w:pStyle w:val="Akapitzlist"/>
        <w:numPr>
          <w:ilvl w:val="0"/>
          <w:numId w:val="25"/>
        </w:numPr>
        <w:spacing w:line="276" w:lineRule="auto"/>
        <w:jc w:val="left"/>
        <w:rPr>
          <w:rFonts w:ascii="Calibri" w:hAnsi="Calibri"/>
          <w:kern w:val="2"/>
          <w:sz w:val="28"/>
          <w:szCs w:val="28"/>
          <w:lang w:eastAsia="en-US"/>
        </w:rPr>
      </w:pPr>
      <w:r w:rsidRPr="005F5904">
        <w:rPr>
          <w:rFonts w:ascii="Calibri" w:hAnsi="Calibri"/>
          <w:kern w:val="2"/>
          <w:sz w:val="28"/>
          <w:szCs w:val="28"/>
          <w:lang w:eastAsia="en-US"/>
        </w:rPr>
        <w:lastRenderedPageBreak/>
        <w:t xml:space="preserve">Program szkoleniowy </w:t>
      </w:r>
      <w:r w:rsidRPr="005F5904">
        <w:rPr>
          <w:rFonts w:ascii="Calibri" w:hAnsi="Calibri"/>
          <w:b/>
          <w:kern w:val="2"/>
          <w:sz w:val="28"/>
          <w:szCs w:val="28"/>
          <w:lang w:eastAsia="en-US"/>
        </w:rPr>
        <w:t>części specjalistycznej – działania szkoleniowe związane z wymaganiami wynikającymi z ustawy – blok 4.</w:t>
      </w:r>
    </w:p>
    <w:p w14:paraId="2010281C" w14:textId="41022F02" w:rsidR="008D7467" w:rsidRPr="005F5904" w:rsidRDefault="008D7467" w:rsidP="005F5904">
      <w:pPr>
        <w:tabs>
          <w:tab w:val="left" w:pos="0"/>
          <w:tab w:val="left" w:pos="284"/>
        </w:tabs>
        <w:spacing w:before="240" w:after="24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Część teoretyczna</w:t>
      </w:r>
    </w:p>
    <w:p w14:paraId="67023912" w14:textId="69E2FB74" w:rsidR="008D7467" w:rsidRPr="00505D97" w:rsidRDefault="008D7467" w:rsidP="00505D97">
      <w:pPr>
        <w:spacing w:before="240" w:after="24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 xml:space="preserve">Blok 4 Ustawa, Dyrektywa Parlamentu Europejskiego i Rady (UE) 2019/882 z dnia 17 kwietnia 2019 r. w sprawie wymogów dostępności produktów i usług  (European Accessibility Act). </w:t>
      </w:r>
    </w:p>
    <w:p w14:paraId="5B54511D" w14:textId="77777777" w:rsidR="008D7467" w:rsidRPr="005F5904" w:rsidRDefault="008D7467" w:rsidP="005F5904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Blok 4a Zajęcia teoretyczne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 </w:t>
      </w:r>
    </w:p>
    <w:p w14:paraId="4CB89CC0" w14:textId="77777777" w:rsidR="008D7467" w:rsidRPr="005F5904" w:rsidRDefault="008D7467" w:rsidP="005F5904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Minimalny zakres zagadnień powinien uwzględniać poniższe:</w:t>
      </w:r>
    </w:p>
    <w:p w14:paraId="61625C12" w14:textId="13B2D89F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Ustawa oraz Dyrektywa EAA – podstawowe pojęcia, terminy, przepisy przejściowe – z uwzględnieniem celów społecznych i ekonomicznych.</w:t>
      </w:r>
    </w:p>
    <w:p w14:paraId="15731514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Definicje.</w:t>
      </w:r>
    </w:p>
    <w:p w14:paraId="7AFC6160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Kontekst dostępności.</w:t>
      </w:r>
    </w:p>
    <w:p w14:paraId="4696DB27" w14:textId="0CA09DCE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Zakres podmiotowy, z uwzględnieniem zwolnień ze stosowania regulacji</w:t>
      </w:r>
      <w:r w:rsidR="009F00DB" w:rsidRPr="005F5904">
        <w:rPr>
          <w:rFonts w:ascii="Calibri" w:hAnsi="Calibri"/>
          <w:kern w:val="2"/>
          <w:sz w:val="24"/>
          <w:szCs w:val="24"/>
          <w:lang w:eastAsia="en-US"/>
        </w:rPr>
        <w:t>.</w:t>
      </w: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 </w:t>
      </w:r>
    </w:p>
    <w:p w14:paraId="24625337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Zakres przedmiotowy, z uwzględnieniem zwolnień ze stosowania regulacji.</w:t>
      </w:r>
    </w:p>
    <w:p w14:paraId="6B1F3BF8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Obowiązki producentów, importerów, dystrybutorów, usługodawców,</w:t>
      </w:r>
    </w:p>
    <w:p w14:paraId="284C94E1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Wytyczne wydane przez Prezesa PFRON  dla podmiotów gospodarczych w zakresie zapewniania spełniania wymagań dostępności produktów i usług , o których mowa w art. 39 pkt. 6 ustawy (o ile zostaną wydane).</w:t>
      </w:r>
    </w:p>
    <w:p w14:paraId="1CF831EA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Konsumenckie postępowanie skargowe. </w:t>
      </w:r>
    </w:p>
    <w:p w14:paraId="789F9DFE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Organy nadzoru rynku i ich kompetencje.</w:t>
      </w:r>
    </w:p>
    <w:p w14:paraId="1E7D1E20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Postępowanie kontrolne (administracyjne).  </w:t>
      </w:r>
    </w:p>
    <w:p w14:paraId="40F9670D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Sankcje administracyjne.</w:t>
      </w:r>
    </w:p>
    <w:p w14:paraId="3AF324C1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Odpowiedzialność cywilnoprawna.</w:t>
      </w:r>
    </w:p>
    <w:p w14:paraId="1CD5E173" w14:textId="77777777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Ochrona danych osobowych osób korzystających z dostępnych produktów i usług, ze szczególnym uwzględnieniem danych szczególnej kategorii dotyczących stanu zdrowia.   </w:t>
      </w:r>
    </w:p>
    <w:p w14:paraId="50332E85" w14:textId="4B82A882" w:rsidR="008D7467" w:rsidRPr="005F5904" w:rsidRDefault="008D7467" w:rsidP="005F5904">
      <w:pPr>
        <w:pStyle w:val="Akapitzlist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 xml:space="preserve">Wpływ regulacji na zamówienia publiczne. </w:t>
      </w:r>
      <w:bookmarkStart w:id="1" w:name="_Hlk163469384"/>
    </w:p>
    <w:bookmarkEnd w:id="1"/>
    <w:p w14:paraId="568C71A4" w14:textId="13B2D89F" w:rsidR="008D7467" w:rsidRPr="005F5904" w:rsidRDefault="008D7467" w:rsidP="005F5904">
      <w:pPr>
        <w:tabs>
          <w:tab w:val="left" w:pos="0"/>
          <w:tab w:val="left" w:pos="284"/>
        </w:tabs>
        <w:spacing w:before="240" w:after="240"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lastRenderedPageBreak/>
        <w:t>Część praktyczna</w:t>
      </w:r>
    </w:p>
    <w:p w14:paraId="64F08BCC" w14:textId="77777777" w:rsidR="008D7467" w:rsidRPr="005F5904" w:rsidRDefault="008D7467" w:rsidP="005F5904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b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 xml:space="preserve">Blok 4b Zajęcia warsztatowe. </w:t>
      </w:r>
    </w:p>
    <w:p w14:paraId="7DAAA084" w14:textId="5F209B11" w:rsidR="008D7467" w:rsidRPr="005F5904" w:rsidRDefault="008D7467" w:rsidP="005F5904">
      <w:p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b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b/>
          <w:kern w:val="2"/>
          <w:sz w:val="24"/>
          <w:szCs w:val="24"/>
          <w:lang w:eastAsia="en-US"/>
        </w:rPr>
        <w:t>Minimalny zakres zagadnień powinien uwzględniać poniższe:</w:t>
      </w:r>
    </w:p>
    <w:p w14:paraId="15DCE6CF" w14:textId="2FBF6E5F" w:rsidR="008D7467" w:rsidRPr="005F5904" w:rsidRDefault="008D7467" w:rsidP="005F5904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Szczegółowe wymogi dostępności produktów i usług objętych stosowaniem regulacji, w tym stosowanie kryteriów funkcjonalnych na podstawie art. 9 ustawy.</w:t>
      </w:r>
    </w:p>
    <w:p w14:paraId="568F5A9B" w14:textId="0885B972" w:rsidR="008D7467" w:rsidRPr="005F5904" w:rsidRDefault="008D7467" w:rsidP="005F5904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Przykładowe realizacje zapewnienia dostępności wybranych produktów lub usług – adekwatne do profilu osób uczestniczących (na przykład ze względu na oferowane przez zatrudniających ich przedsiębiorców produkty lub usługi).</w:t>
      </w:r>
    </w:p>
    <w:p w14:paraId="5493CA1E" w14:textId="54190DB9" w:rsidR="008D7467" w:rsidRPr="005F5904" w:rsidRDefault="008D7467" w:rsidP="005F5904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Dokonywanie oceny czy wymagania dostępności będą miały zastosowanie oraz dokumentacja przebiegu tej oceny, o których mowa w art. 21 ustawy.</w:t>
      </w:r>
    </w:p>
    <w:p w14:paraId="44BDCA9F" w14:textId="356880DA" w:rsidR="008D7467" w:rsidRPr="005F5904" w:rsidRDefault="008D7467" w:rsidP="005F5904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Wewnętrzna ocena zgodności produktu z wymaganiami dostępności, dokumentacja techniczna, deklaracja zgodności wystawiana przez producentów, oznaczenie CE, jeśli uwzględnia potrzeby grupy szkoleniowej.</w:t>
      </w:r>
    </w:p>
    <w:p w14:paraId="40131AEA" w14:textId="0B8EECEA" w:rsidR="008D7467" w:rsidRPr="005F5904" w:rsidRDefault="008D7467" w:rsidP="005F5904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Wewnętrzna ocena zgodności usługi z wymaganiami dostępności, jeśli uwzględnia potrzeby grupy szkoleniowej.</w:t>
      </w:r>
    </w:p>
    <w:p w14:paraId="37FC6517" w14:textId="2B6162B5" w:rsidR="008D7467" w:rsidRPr="005F5904" w:rsidRDefault="008D7467" w:rsidP="005F5904">
      <w:pPr>
        <w:pStyle w:val="Akapitzlist"/>
        <w:numPr>
          <w:ilvl w:val="0"/>
          <w:numId w:val="29"/>
        </w:numPr>
        <w:tabs>
          <w:tab w:val="left" w:pos="284"/>
          <w:tab w:val="left" w:pos="426"/>
        </w:tabs>
        <w:spacing w:line="276" w:lineRule="auto"/>
        <w:jc w:val="left"/>
        <w:rPr>
          <w:rFonts w:ascii="Calibri" w:hAnsi="Calibri"/>
          <w:kern w:val="2"/>
          <w:sz w:val="24"/>
          <w:szCs w:val="24"/>
          <w:lang w:eastAsia="en-US"/>
        </w:rPr>
      </w:pPr>
      <w:r w:rsidRPr="005F5904">
        <w:rPr>
          <w:rFonts w:ascii="Calibri" w:hAnsi="Calibri"/>
          <w:kern w:val="2"/>
          <w:sz w:val="24"/>
          <w:szCs w:val="24"/>
          <w:lang w:eastAsia="en-US"/>
        </w:rPr>
        <w:t>Zasady sporządzania i terminy przechowywania pozostałej dokumentacji wymaganej przez ustawę lub przydatnej w ocenie osób szkolących.</w:t>
      </w:r>
    </w:p>
    <w:p w14:paraId="69510A6A" w14:textId="57936C3F" w:rsidR="00BA3D7E" w:rsidRDefault="00BA3D7E" w:rsidP="00BA3D7E">
      <w:pPr>
        <w:tabs>
          <w:tab w:val="left" w:pos="284"/>
          <w:tab w:val="left" w:pos="426"/>
        </w:tabs>
        <w:spacing w:before="240" w:line="276" w:lineRule="auto"/>
        <w:jc w:val="left"/>
        <w:rPr>
          <w:rFonts w:ascii="Calibri" w:hAnsi="Calibri"/>
          <w:b/>
          <w:kern w:val="2"/>
          <w:sz w:val="28"/>
          <w:szCs w:val="28"/>
          <w:lang w:eastAsia="en-US"/>
        </w:rPr>
      </w:pPr>
      <w:r>
        <w:rPr>
          <w:rFonts w:ascii="Calibri" w:hAnsi="Calibri"/>
          <w:b/>
          <w:kern w:val="2"/>
          <w:sz w:val="28"/>
          <w:szCs w:val="28"/>
          <w:lang w:eastAsia="en-US"/>
        </w:rPr>
        <w:t>Program doradztwa</w:t>
      </w:r>
    </w:p>
    <w:p w14:paraId="236401E6" w14:textId="7040BC5E" w:rsidR="009049EC" w:rsidRDefault="009049EC" w:rsidP="009049EC">
      <w:pPr>
        <w:spacing w:after="200" w:line="276" w:lineRule="auto"/>
        <w:jc w:val="left"/>
        <w:rPr>
          <w:rFonts w:ascii="Calibri" w:hAnsi="Calibri"/>
          <w:sz w:val="24"/>
          <w:szCs w:val="24"/>
        </w:rPr>
      </w:pPr>
      <w:r w:rsidRPr="005F5904">
        <w:rPr>
          <w:rFonts w:ascii="Calibri" w:hAnsi="Calibri"/>
          <w:sz w:val="24"/>
          <w:szCs w:val="24"/>
        </w:rPr>
        <w:t xml:space="preserve">Działania doradcze mają charakter fakultatywny, a konieczność ich przeprowadzenia powinna wynikać z analizy potrzeb rozwojowych (ankieta poszkoleniowa) uczestniczek lub uczestników, którzy ukończyli szkolenia i chcą pogłębić zagadnienia omawiane w trakcie działań szkoleniowych. </w:t>
      </w:r>
    </w:p>
    <w:p w14:paraId="02DF80E7" w14:textId="77777777" w:rsidR="009049EC" w:rsidRPr="005F5904" w:rsidRDefault="009049EC" w:rsidP="005F5904">
      <w:pPr>
        <w:spacing w:line="276" w:lineRule="auto"/>
        <w:jc w:val="left"/>
        <w:rPr>
          <w:rFonts w:ascii="Calibri" w:hAnsi="Calibri"/>
          <w:sz w:val="24"/>
          <w:szCs w:val="24"/>
        </w:rPr>
      </w:pPr>
      <w:r w:rsidRPr="005F5904">
        <w:rPr>
          <w:rFonts w:ascii="Calibri" w:hAnsi="Calibri"/>
          <w:sz w:val="24"/>
          <w:szCs w:val="24"/>
        </w:rPr>
        <w:t xml:space="preserve">Wsparcie doradcze w zakresie </w:t>
      </w:r>
      <w:r w:rsidRPr="005F5904">
        <w:rPr>
          <w:rFonts w:ascii="Calibri" w:hAnsi="Calibri"/>
          <w:b/>
          <w:sz w:val="24"/>
          <w:szCs w:val="24"/>
        </w:rPr>
        <w:t>szkoleń ogólnych</w:t>
      </w:r>
      <w:r w:rsidRPr="005F5904">
        <w:rPr>
          <w:rFonts w:ascii="Calibri" w:hAnsi="Calibri"/>
          <w:sz w:val="24"/>
          <w:szCs w:val="24"/>
        </w:rPr>
        <w:t xml:space="preserve"> dotyczy w szczególności</w:t>
      </w:r>
      <w:r w:rsidRPr="005F5904">
        <w:rPr>
          <w:rFonts w:ascii="Calibri" w:hAnsi="Calibri"/>
          <w:b/>
          <w:sz w:val="24"/>
          <w:szCs w:val="24"/>
        </w:rPr>
        <w:t xml:space="preserve"> </w:t>
      </w:r>
      <w:r w:rsidRPr="005F5904">
        <w:rPr>
          <w:rFonts w:ascii="Calibri" w:hAnsi="Calibri"/>
          <w:sz w:val="24"/>
          <w:szCs w:val="24"/>
        </w:rPr>
        <w:t>zaprojektowania uniwersalnego produktu (produktów) lub usługi (usług).</w:t>
      </w:r>
    </w:p>
    <w:p w14:paraId="5360D224" w14:textId="77777777" w:rsidR="009049EC" w:rsidRPr="005F5904" w:rsidRDefault="009049EC" w:rsidP="005F5904">
      <w:pPr>
        <w:spacing w:line="276" w:lineRule="auto"/>
        <w:jc w:val="left"/>
        <w:rPr>
          <w:rFonts w:ascii="Calibri" w:hAnsi="Calibri"/>
          <w:sz w:val="24"/>
          <w:szCs w:val="24"/>
        </w:rPr>
      </w:pPr>
      <w:r w:rsidRPr="005F5904">
        <w:rPr>
          <w:rFonts w:ascii="Calibri" w:hAnsi="Calibri"/>
          <w:sz w:val="24"/>
          <w:szCs w:val="24"/>
        </w:rPr>
        <w:t xml:space="preserve">Wsparcie doradcze w zakresie </w:t>
      </w:r>
      <w:r w:rsidRPr="005F5904">
        <w:rPr>
          <w:rFonts w:ascii="Calibri" w:hAnsi="Calibri"/>
          <w:b/>
          <w:sz w:val="24"/>
          <w:szCs w:val="24"/>
        </w:rPr>
        <w:t>szkoleń specjalistycznych</w:t>
      </w:r>
      <w:r w:rsidRPr="005F5904">
        <w:rPr>
          <w:rFonts w:ascii="Calibri" w:hAnsi="Calibri"/>
          <w:sz w:val="24"/>
          <w:szCs w:val="24"/>
        </w:rPr>
        <w:t xml:space="preserve"> dotyczy w szczególności:</w:t>
      </w:r>
    </w:p>
    <w:p w14:paraId="446AA013" w14:textId="77777777" w:rsidR="009049EC" w:rsidRPr="005F5904" w:rsidRDefault="009049EC" w:rsidP="009049EC">
      <w:pPr>
        <w:pStyle w:val="Akapitzlist"/>
        <w:numPr>
          <w:ilvl w:val="0"/>
          <w:numId w:val="20"/>
        </w:numPr>
        <w:spacing w:after="200" w:line="276" w:lineRule="auto"/>
        <w:jc w:val="left"/>
        <w:rPr>
          <w:rFonts w:ascii="Calibri" w:hAnsi="Calibri"/>
          <w:sz w:val="24"/>
          <w:szCs w:val="24"/>
        </w:rPr>
      </w:pPr>
      <w:r w:rsidRPr="005F5904">
        <w:rPr>
          <w:rFonts w:ascii="Calibri" w:hAnsi="Calibri"/>
          <w:sz w:val="24"/>
          <w:szCs w:val="24"/>
        </w:rPr>
        <w:t>weryfikacji produktów pod kątem ich dostępności, z uwzględnieniem wymogów i zgodności z ustawą;</w:t>
      </w:r>
    </w:p>
    <w:p w14:paraId="498BC015" w14:textId="77777777" w:rsidR="009049EC" w:rsidRPr="005F5904" w:rsidRDefault="009049EC" w:rsidP="009049EC">
      <w:pPr>
        <w:pStyle w:val="Akapitzlist"/>
        <w:numPr>
          <w:ilvl w:val="0"/>
          <w:numId w:val="20"/>
        </w:numPr>
        <w:spacing w:after="200" w:line="276" w:lineRule="auto"/>
        <w:jc w:val="left"/>
        <w:rPr>
          <w:rFonts w:ascii="Calibri" w:hAnsi="Calibri"/>
          <w:sz w:val="24"/>
          <w:szCs w:val="24"/>
        </w:rPr>
      </w:pPr>
      <w:r w:rsidRPr="005F5904">
        <w:rPr>
          <w:rFonts w:ascii="Calibri" w:hAnsi="Calibri"/>
          <w:sz w:val="24"/>
          <w:szCs w:val="24"/>
        </w:rPr>
        <w:t>tworzenia lub weryfikacji dokumentacji związanej z produktami lub usługami (takimi jak instrukcje obsługi, regulaminy korzystania z usług, i tym podobne) pod względem ich dostępności, z uwzględnieniem wymogów i zgodności z ustawą;</w:t>
      </w:r>
    </w:p>
    <w:p w14:paraId="377D740A" w14:textId="6BE3F1D7" w:rsidR="00B36B26" w:rsidRPr="00505D97" w:rsidRDefault="009049EC" w:rsidP="00505D97">
      <w:pPr>
        <w:pStyle w:val="Akapitzlist"/>
        <w:numPr>
          <w:ilvl w:val="0"/>
          <w:numId w:val="20"/>
        </w:numPr>
        <w:spacing w:after="200" w:line="276" w:lineRule="auto"/>
        <w:jc w:val="left"/>
        <w:rPr>
          <w:rFonts w:ascii="Calibri" w:hAnsi="Calibri"/>
          <w:sz w:val="24"/>
          <w:szCs w:val="24"/>
        </w:rPr>
      </w:pPr>
      <w:r w:rsidRPr="005F5904">
        <w:rPr>
          <w:rFonts w:ascii="Calibri" w:hAnsi="Calibri"/>
          <w:sz w:val="24"/>
          <w:szCs w:val="24"/>
        </w:rPr>
        <w:t>tworzenia lub weryfikacji dokumentacji wymaganej przez ustawę (takich jak: dokonywanie i dokumentowanie oceny o której mowa w art. 21 ustawy, opracowywanie deklaracji zgodności, i tym podobne).</w:t>
      </w:r>
    </w:p>
    <w:sectPr w:rsidR="00B36B26" w:rsidRPr="00505D97" w:rsidSect="00552CDF">
      <w:headerReference w:type="default" r:id="rId10"/>
      <w:headerReference w:type="first" r:id="rId11"/>
      <w:pgSz w:w="16838" w:h="11906" w:orient="landscape"/>
      <w:pgMar w:top="1560" w:right="1103" w:bottom="1135" w:left="1276" w:header="1422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6D0F" w14:textId="77777777" w:rsidR="00BD0E1B" w:rsidRDefault="00BD0E1B" w:rsidP="009C789F">
      <w:pPr>
        <w:spacing w:line="240" w:lineRule="auto"/>
      </w:pPr>
      <w:r>
        <w:separator/>
      </w:r>
    </w:p>
  </w:endnote>
  <w:endnote w:type="continuationSeparator" w:id="0">
    <w:p w14:paraId="196828DC" w14:textId="77777777" w:rsidR="00BD0E1B" w:rsidRDefault="00BD0E1B" w:rsidP="009C78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05912" w14:textId="77777777" w:rsidR="00BD0E1B" w:rsidRDefault="00BD0E1B" w:rsidP="009C789F">
      <w:pPr>
        <w:spacing w:line="240" w:lineRule="auto"/>
      </w:pPr>
      <w:r>
        <w:separator/>
      </w:r>
    </w:p>
  </w:footnote>
  <w:footnote w:type="continuationSeparator" w:id="0">
    <w:p w14:paraId="78438092" w14:textId="77777777" w:rsidR="00BD0E1B" w:rsidRDefault="00BD0E1B" w:rsidP="009C789F">
      <w:pPr>
        <w:spacing w:line="240" w:lineRule="auto"/>
      </w:pPr>
      <w:r>
        <w:continuationSeparator/>
      </w:r>
    </w:p>
  </w:footnote>
  <w:footnote w:id="1">
    <w:p w14:paraId="01BFCE03" w14:textId="478E052E" w:rsidR="002F7642" w:rsidRDefault="002F76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63476628"/>
      <w:r w:rsidRPr="00823B1A">
        <w:rPr>
          <w:rFonts w:ascii="Calibri" w:hAnsi="Calibri" w:cs="Calibri"/>
          <w:kern w:val="2"/>
          <w:sz w:val="22"/>
          <w:szCs w:val="22"/>
          <w:lang w:eastAsia="en-US"/>
        </w:rPr>
        <w:t>Zakres tematyczny szkolenia podany jest pod tabelą.</w:t>
      </w:r>
      <w:bookmarkEnd w:id="0"/>
    </w:p>
  </w:footnote>
  <w:footnote w:id="2">
    <w:p w14:paraId="5C789CFA" w14:textId="7B267947" w:rsidR="002F7642" w:rsidRDefault="002F764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kern w:val="2"/>
          <w:sz w:val="22"/>
          <w:szCs w:val="22"/>
          <w:lang w:eastAsia="en-US"/>
        </w:rPr>
        <w:t>Opis dotyczący usługi doradztwa</w:t>
      </w:r>
      <w:r w:rsidRPr="00823B1A">
        <w:rPr>
          <w:rFonts w:ascii="Calibri" w:hAnsi="Calibri" w:cs="Calibri"/>
          <w:kern w:val="2"/>
          <w:sz w:val="22"/>
          <w:szCs w:val="22"/>
          <w:lang w:eastAsia="en-US"/>
        </w:rPr>
        <w:t xml:space="preserve"> podany jest pod tabelą.</w:t>
      </w:r>
    </w:p>
  </w:footnote>
  <w:footnote w:id="3">
    <w:p w14:paraId="05C73E74" w14:textId="77777777" w:rsidR="00EE20CC" w:rsidRPr="00247BB0" w:rsidRDefault="00EE20CC" w:rsidP="00EE20CC">
      <w:pPr>
        <w:pStyle w:val="Tekstprzypisudolnego"/>
        <w:rPr>
          <w:rFonts w:ascii="Calibri" w:hAnsi="Calibri" w:cs="Calibri"/>
          <w:sz w:val="22"/>
          <w:szCs w:val="22"/>
        </w:rPr>
      </w:pPr>
      <w:r w:rsidRPr="00247BB0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247BB0">
        <w:rPr>
          <w:rFonts w:ascii="Calibri" w:hAnsi="Calibri" w:cs="Calibri"/>
          <w:sz w:val="22"/>
          <w:szCs w:val="22"/>
        </w:rPr>
        <w:t xml:space="preserve"> rozporządzenie Parlamentu Europejskiego i Rady (WE) nr 765/2008 z dnia 9 lipca 2008 r. ustanawiającego wymagania w zakresie akredytacji i nadzoru rynku odnoszące się do warunków wprowadzania produktów do obrotu i uchylającego rozporządzenie (EWG) nr 339/93 (Dz. Urz. UE L 218 z 13.08.2008, str. 30, z późn. zm.  </w:t>
      </w:r>
    </w:p>
  </w:footnote>
  <w:footnote w:id="4">
    <w:p w14:paraId="47B3A32F" w14:textId="77777777" w:rsidR="00EE20CC" w:rsidRDefault="00EE20CC" w:rsidP="00EE20CC">
      <w:pPr>
        <w:pStyle w:val="Tekstprzypisudolnego"/>
      </w:pPr>
      <w:r w:rsidRPr="00247BB0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247BB0">
        <w:rPr>
          <w:rFonts w:ascii="Calibri" w:hAnsi="Calibri" w:cs="Calibri"/>
          <w:sz w:val="22"/>
          <w:szCs w:val="22"/>
        </w:rPr>
        <w:t xml:space="preserve"> rozporządzenia Parlamentu Europejskiego i Rady (UE) nr 1025/2012 z dnia 25 października 2012 r., w sprawie normalizacji europejskiej, zmieniającego dyrektywy Rady 89/686/EWG i 93/15/EWG oraz dyrektywy Parlamentu Europejskiego i Rady 94/9/WE, 94/25/WE, 95/16/WE, 97/23/WE, 98/34/WE, </w:t>
      </w:r>
      <w:r w:rsidRPr="00386BC3">
        <w:rPr>
          <w:rFonts w:ascii="Calibri" w:hAnsi="Calibri" w:cs="Calibri"/>
          <w:sz w:val="22"/>
          <w:szCs w:val="22"/>
        </w:rPr>
        <w:t>2004/22/WE, 2007/23/WE, 2009/23/WE i 2009/105/WE oraz uchylającego decyzję Rady 87/95/EWG i decyzję Parlamentu Europejskiego i Rady nr 1673/2006/WE (Dz. Urz. UE L 316 z 14.11.2012, str. 12, z późn. zm.)</w:t>
      </w:r>
    </w:p>
  </w:footnote>
  <w:footnote w:id="5">
    <w:p w14:paraId="1773F574" w14:textId="77777777" w:rsidR="008D7467" w:rsidRPr="00100EBE" w:rsidRDefault="008D7467" w:rsidP="005F5904">
      <w:pPr>
        <w:pStyle w:val="Tekstprzypisudolnego"/>
        <w:spacing w:line="276" w:lineRule="auto"/>
        <w:rPr>
          <w:rFonts w:ascii="Calibri" w:hAnsi="Calibri" w:cs="Calibri"/>
          <w:sz w:val="22"/>
          <w:szCs w:val="22"/>
        </w:rPr>
      </w:pPr>
      <w:r w:rsidRPr="00100EBE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100EBE">
        <w:rPr>
          <w:rFonts w:ascii="Calibri" w:hAnsi="Calibri" w:cs="Calibri"/>
          <w:sz w:val="22"/>
          <w:szCs w:val="22"/>
        </w:rPr>
        <w:t xml:space="preserve"> Pomoc zwrotna tym różni się od bezzwrotnej, iż zawiera w umowie o dofinansowanie warunki zwrotu środków w części lub nawet w całości, np. w formie pożyczki.</w:t>
      </w:r>
    </w:p>
  </w:footnote>
  <w:footnote w:id="6">
    <w:p w14:paraId="569C111C" w14:textId="77777777" w:rsidR="008D7467" w:rsidRPr="00C80F80" w:rsidRDefault="008D7467" w:rsidP="005F5904">
      <w:pPr>
        <w:pStyle w:val="Tekstprzypisudolnego"/>
        <w:spacing w:line="276" w:lineRule="auto"/>
        <w:rPr>
          <w:rFonts w:ascii="Calibri" w:hAnsi="Calibri"/>
          <w:sz w:val="22"/>
          <w:szCs w:val="22"/>
        </w:rPr>
      </w:pPr>
      <w:r w:rsidRPr="00C80F80">
        <w:rPr>
          <w:rStyle w:val="Odwoanieprzypisudolnego"/>
          <w:rFonts w:ascii="Calibri" w:hAnsi="Calibri"/>
          <w:sz w:val="22"/>
          <w:szCs w:val="22"/>
        </w:rPr>
        <w:footnoteRef/>
      </w:r>
      <w:r w:rsidRPr="00C80F80">
        <w:rPr>
          <w:rFonts w:ascii="Calibri" w:hAnsi="Calibri"/>
          <w:sz w:val="22"/>
          <w:szCs w:val="22"/>
        </w:rPr>
        <w:t xml:space="preserve"> Program szkoleniowy powinien informować o możliwości uzyskania wsparcia i korzyści finansowych przy wdrażaniu usług i produktów zgodnych z zasadami projektowania uniwersalnego, (m.in. informacja o istniejących źródłach finansowania lub wspierania rozwoju działalności gospodarczej w oparciu o nowe pomysły biznesowe, m.in.:</w:t>
      </w:r>
    </w:p>
    <w:p w14:paraId="3C493694" w14:textId="77777777" w:rsidR="008D7467" w:rsidRPr="00C80F80" w:rsidRDefault="008D7467" w:rsidP="005F5904">
      <w:pPr>
        <w:pStyle w:val="Tekstprzypisudolnego"/>
        <w:spacing w:line="276" w:lineRule="auto"/>
        <w:rPr>
          <w:rFonts w:ascii="Calibri" w:hAnsi="Calibri"/>
          <w:sz w:val="22"/>
          <w:szCs w:val="22"/>
        </w:rPr>
      </w:pPr>
      <w:r w:rsidRPr="00C80F80">
        <w:rPr>
          <w:rFonts w:ascii="Calibri" w:hAnsi="Calibri"/>
          <w:sz w:val="22"/>
          <w:szCs w:val="22"/>
        </w:rPr>
        <w:t>- projekt BGK w ramach FERS:  Europejskie pożyczki dla przedsiębiorców na dostępność;</w:t>
      </w:r>
    </w:p>
    <w:p w14:paraId="5FBF8E00" w14:textId="77777777" w:rsidR="008D7467" w:rsidRPr="00C80F80" w:rsidRDefault="008D7467" w:rsidP="005F5904">
      <w:pPr>
        <w:pStyle w:val="Tekstprzypisudolnego"/>
        <w:spacing w:line="276" w:lineRule="auto"/>
        <w:rPr>
          <w:rFonts w:ascii="Calibri" w:hAnsi="Calibri"/>
          <w:sz w:val="22"/>
          <w:szCs w:val="22"/>
        </w:rPr>
      </w:pPr>
      <w:r w:rsidRPr="00C80F80">
        <w:rPr>
          <w:rFonts w:ascii="Calibri" w:hAnsi="Calibri"/>
          <w:sz w:val="22"/>
          <w:szCs w:val="22"/>
        </w:rPr>
        <w:t>- konkurs MFiPR  w ramach FERS „Dostępny hotel”;</w:t>
      </w:r>
    </w:p>
    <w:p w14:paraId="52B785B8" w14:textId="77777777" w:rsidR="008D7467" w:rsidRPr="00C80F80" w:rsidRDefault="008D7467" w:rsidP="005F5904">
      <w:pPr>
        <w:pStyle w:val="Tekstprzypisudolnego"/>
        <w:spacing w:line="276" w:lineRule="auto"/>
        <w:rPr>
          <w:rFonts w:ascii="Calibri" w:hAnsi="Calibri"/>
          <w:sz w:val="22"/>
          <w:szCs w:val="22"/>
        </w:rPr>
      </w:pPr>
      <w:r w:rsidRPr="00C80F80">
        <w:rPr>
          <w:rFonts w:ascii="Calibri" w:hAnsi="Calibri"/>
          <w:sz w:val="22"/>
          <w:szCs w:val="22"/>
        </w:rPr>
        <w:t>- konkursu PARP i NCBiR w ramach FENG ”Ścieżka SMART- nabór tematyczny Dostępność;</w:t>
      </w:r>
    </w:p>
    <w:p w14:paraId="6591B703" w14:textId="77777777" w:rsidR="008D7467" w:rsidRPr="00C80F80" w:rsidRDefault="008D7467" w:rsidP="005F5904">
      <w:pPr>
        <w:pStyle w:val="Tekstprzypisudolnego"/>
        <w:spacing w:line="276" w:lineRule="auto"/>
        <w:rPr>
          <w:rFonts w:ascii="Calibri" w:hAnsi="Calibri"/>
          <w:sz w:val="22"/>
          <w:szCs w:val="22"/>
        </w:rPr>
      </w:pPr>
      <w:r w:rsidRPr="00C80F80">
        <w:rPr>
          <w:rFonts w:ascii="Calibri" w:hAnsi="Calibri"/>
          <w:sz w:val="22"/>
          <w:szCs w:val="22"/>
        </w:rPr>
        <w:t>- PTFE, DEM w MFiPR projekt „Projekt wspierający wdrożenie EAA”</w:t>
      </w:r>
    </w:p>
    <w:p w14:paraId="2226DFC2" w14:textId="77777777" w:rsidR="008D7467" w:rsidRDefault="008D7467" w:rsidP="005F5904">
      <w:pPr>
        <w:pStyle w:val="Tekstprzypisudolnego"/>
        <w:spacing w:line="276" w:lineRule="auto"/>
      </w:pPr>
      <w:r w:rsidRPr="00C80F80">
        <w:rPr>
          <w:rFonts w:ascii="Calibri" w:hAnsi="Calibri"/>
          <w:sz w:val="22"/>
          <w:szCs w:val="22"/>
        </w:rPr>
        <w:t>- inne wsparcie pośrednie kierowane do przedsiębiorców (np. AOS, ekonomia społeczna).</w:t>
      </w:r>
    </w:p>
  </w:footnote>
  <w:footnote w:id="7">
    <w:p w14:paraId="4862DE02" w14:textId="77777777" w:rsidR="008D7467" w:rsidRDefault="008D7467" w:rsidP="008D7467">
      <w:pPr>
        <w:pStyle w:val="Tekstprzypisudolnego"/>
      </w:pPr>
      <w:r w:rsidRPr="00C06AE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C06AEC">
        <w:rPr>
          <w:rFonts w:ascii="Calibri" w:hAnsi="Calibri" w:cs="Calibri"/>
          <w:sz w:val="22"/>
          <w:szCs w:val="22"/>
        </w:rPr>
        <w:t xml:space="preserve"> W tym module nie należy szczegółowo analizować poszczególnych aktów prawnych, a jedynie wskazać że istnieją takie, w których znajdują się regulacje dotyczące szczególnych potrzeb lub niepełnosprawności, a które mogą być brane pod uwagę przy okazji stosowania ustawy.</w:t>
      </w:r>
      <w:r>
        <w:rPr>
          <w:rFonts w:ascii="Calibri" w:hAnsi="Calibri" w:cs="Calibri"/>
          <w:sz w:val="22"/>
          <w:szCs w:val="22"/>
        </w:rPr>
        <w:t xml:space="preserve"> </w:t>
      </w:r>
    </w:p>
  </w:footnote>
  <w:footnote w:id="8">
    <w:p w14:paraId="13EBC5FA" w14:textId="77777777" w:rsidR="008D7467" w:rsidRPr="00C06AEC" w:rsidRDefault="008D7467" w:rsidP="005F5904">
      <w:pPr>
        <w:pStyle w:val="Tekstprzypisudolnego"/>
        <w:spacing w:line="276" w:lineRule="auto"/>
        <w:rPr>
          <w:rFonts w:ascii="Calibri" w:hAnsi="Calibri" w:cs="Calibri"/>
          <w:sz w:val="22"/>
          <w:szCs w:val="22"/>
        </w:rPr>
      </w:pPr>
      <w:r w:rsidRPr="00C06AEC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C06AEC">
        <w:rPr>
          <w:rFonts w:ascii="Calibri" w:hAnsi="Calibri" w:cs="Calibri"/>
          <w:sz w:val="22"/>
          <w:szCs w:val="22"/>
        </w:rPr>
        <w:t xml:space="preserve"> W tym module nie należy szczegółowo analizować poszczególnych aktów prawnych, a jedynie wskazać że istnieją takie, w których znajdują się regulacje dotyczące szczególnych potrzeb lub niepełnosprawności, a które mogą być brane pod uwagę przy okazji stosowania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AB08C" w14:textId="77777777" w:rsidR="0081767F" w:rsidRDefault="0081767F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802BE0" wp14:editId="332014B5">
          <wp:simplePos x="0" y="0"/>
          <wp:positionH relativeFrom="column">
            <wp:posOffset>1659255</wp:posOffset>
          </wp:positionH>
          <wp:positionV relativeFrom="paragraph">
            <wp:posOffset>-578485</wp:posOffset>
          </wp:positionV>
          <wp:extent cx="5762625" cy="523875"/>
          <wp:effectExtent l="0" t="0" r="9525" b="9525"/>
          <wp:wrapNone/>
          <wp:docPr id="2083870424" name="Obraz 5" descr="Pasek logotypów: logotyp Fundusze Europejskie dla Rozwoju Społecznego, logotyp Rzeczpospolita Polska, logotyp Dofinansowane przez Unię Europejską, 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asek logotypów: logotyp Fundusze Europejskie dla Rozwoju Społecznego, logotyp Rzeczpospolita Polska, logotyp Dofinansowane przez Unię Europejską, 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743B88F" w14:textId="77777777" w:rsidR="0081767F" w:rsidRPr="000C4BB9" w:rsidRDefault="0081767F" w:rsidP="00157B49">
    <w:pPr>
      <w:pStyle w:val="Nagwek"/>
      <w:ind w:hanging="567"/>
      <w:rPr>
        <w:color w:val="000000"/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02221" w14:textId="77777777" w:rsidR="0081767F" w:rsidRDefault="0081767F">
    <w:pPr>
      <w:pStyle w:val="Nagwek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96A2A3F" w14:textId="77777777" w:rsidR="0081767F" w:rsidRDefault="008176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A5E56"/>
    <w:multiLevelType w:val="hybridMultilevel"/>
    <w:tmpl w:val="839C6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3D9"/>
    <w:multiLevelType w:val="hybridMultilevel"/>
    <w:tmpl w:val="4146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71429"/>
    <w:multiLevelType w:val="hybridMultilevel"/>
    <w:tmpl w:val="144AC7F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959B8"/>
    <w:multiLevelType w:val="hybridMultilevel"/>
    <w:tmpl w:val="46163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A07E6"/>
    <w:multiLevelType w:val="hybridMultilevel"/>
    <w:tmpl w:val="73CE12F2"/>
    <w:lvl w:ilvl="0" w:tplc="297262C8">
      <w:start w:val="1"/>
      <w:numFmt w:val="decimal"/>
      <w:lvlText w:val="%1)"/>
      <w:lvlJc w:val="left"/>
      <w:pPr>
        <w:ind w:left="1361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5" w15:restartNumberingAfterBreak="0">
    <w:nsid w:val="0CDE3FA7"/>
    <w:multiLevelType w:val="hybridMultilevel"/>
    <w:tmpl w:val="348C3D5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DC645A"/>
    <w:multiLevelType w:val="hybridMultilevel"/>
    <w:tmpl w:val="88685E30"/>
    <w:lvl w:ilvl="0" w:tplc="297262C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04171"/>
    <w:multiLevelType w:val="hybridMultilevel"/>
    <w:tmpl w:val="149C1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236B3"/>
    <w:multiLevelType w:val="hybridMultilevel"/>
    <w:tmpl w:val="6A022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051F2"/>
    <w:multiLevelType w:val="hybridMultilevel"/>
    <w:tmpl w:val="EBFE18CC"/>
    <w:lvl w:ilvl="0" w:tplc="297262C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4047A"/>
    <w:multiLevelType w:val="hybridMultilevel"/>
    <w:tmpl w:val="BAAAA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7361D"/>
    <w:multiLevelType w:val="hybridMultilevel"/>
    <w:tmpl w:val="6622B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D35D9A"/>
    <w:multiLevelType w:val="hybridMultilevel"/>
    <w:tmpl w:val="0400D67A"/>
    <w:lvl w:ilvl="0" w:tplc="9ED01D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155422"/>
    <w:multiLevelType w:val="multilevel"/>
    <w:tmpl w:val="DA3CF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1D76107"/>
    <w:multiLevelType w:val="hybridMultilevel"/>
    <w:tmpl w:val="21447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BD6B04"/>
    <w:multiLevelType w:val="hybridMultilevel"/>
    <w:tmpl w:val="B2F25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600D7"/>
    <w:multiLevelType w:val="hybridMultilevel"/>
    <w:tmpl w:val="7688C28A"/>
    <w:lvl w:ilvl="0" w:tplc="DFBEFF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8B0C84"/>
    <w:multiLevelType w:val="hybridMultilevel"/>
    <w:tmpl w:val="AE00EB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802AE"/>
    <w:multiLevelType w:val="hybridMultilevel"/>
    <w:tmpl w:val="D466F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647"/>
    <w:multiLevelType w:val="hybridMultilevel"/>
    <w:tmpl w:val="F32EC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529E"/>
    <w:multiLevelType w:val="hybridMultilevel"/>
    <w:tmpl w:val="008A1B3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626655"/>
    <w:multiLevelType w:val="hybridMultilevel"/>
    <w:tmpl w:val="26FCEF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D5204D6"/>
    <w:multiLevelType w:val="hybridMultilevel"/>
    <w:tmpl w:val="7222095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D11040"/>
    <w:multiLevelType w:val="hybridMultilevel"/>
    <w:tmpl w:val="4D483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3C05"/>
    <w:multiLevelType w:val="hybridMultilevel"/>
    <w:tmpl w:val="A1FEF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C7D67"/>
    <w:multiLevelType w:val="hybridMultilevel"/>
    <w:tmpl w:val="F294BD5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F1515"/>
    <w:multiLevelType w:val="hybridMultilevel"/>
    <w:tmpl w:val="97BEF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C2B33"/>
    <w:multiLevelType w:val="hybridMultilevel"/>
    <w:tmpl w:val="83ACC5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F2544"/>
    <w:multiLevelType w:val="hybridMultilevel"/>
    <w:tmpl w:val="B1C6A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F328EE"/>
    <w:multiLevelType w:val="hybridMultilevel"/>
    <w:tmpl w:val="CD605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141FA6"/>
    <w:multiLevelType w:val="hybridMultilevel"/>
    <w:tmpl w:val="C8E81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32360"/>
    <w:multiLevelType w:val="hybridMultilevel"/>
    <w:tmpl w:val="BF8E3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6E0AC6"/>
    <w:multiLevelType w:val="hybridMultilevel"/>
    <w:tmpl w:val="1824A5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B635F"/>
    <w:multiLevelType w:val="hybridMultilevel"/>
    <w:tmpl w:val="14D45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16B86"/>
    <w:multiLevelType w:val="hybridMultilevel"/>
    <w:tmpl w:val="4F583124"/>
    <w:lvl w:ilvl="0" w:tplc="F7BA33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44231"/>
    <w:multiLevelType w:val="multilevel"/>
    <w:tmpl w:val="2B6A0C36"/>
    <w:lvl w:ilvl="0">
      <w:start w:val="1"/>
      <w:numFmt w:val="decimal"/>
      <w:lvlText w:val="%1."/>
      <w:lvlJc w:val="left"/>
      <w:pPr>
        <w:tabs>
          <w:tab w:val="num" w:pos="-1920"/>
        </w:tabs>
        <w:ind w:left="-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-1200"/>
        </w:tabs>
        <w:ind w:left="-1200" w:hanging="360"/>
      </w:pPr>
    </w:lvl>
    <w:lvl w:ilvl="2" w:tentative="1">
      <w:start w:val="1"/>
      <w:numFmt w:val="decimal"/>
      <w:lvlText w:val="%3."/>
      <w:lvlJc w:val="left"/>
      <w:pPr>
        <w:tabs>
          <w:tab w:val="num" w:pos="-480"/>
        </w:tabs>
        <w:ind w:left="-480" w:hanging="360"/>
      </w:pPr>
    </w:lvl>
    <w:lvl w:ilvl="3" w:tentative="1">
      <w:start w:val="1"/>
      <w:numFmt w:val="decimal"/>
      <w:lvlText w:val="%4."/>
      <w:lvlJc w:val="left"/>
      <w:pPr>
        <w:tabs>
          <w:tab w:val="num" w:pos="240"/>
        </w:tabs>
        <w:ind w:left="240" w:hanging="360"/>
      </w:pPr>
    </w:lvl>
    <w:lvl w:ilvl="4" w:tentative="1">
      <w:start w:val="1"/>
      <w:numFmt w:val="decimal"/>
      <w:lvlText w:val="%5."/>
      <w:lvlJc w:val="left"/>
      <w:pPr>
        <w:tabs>
          <w:tab w:val="num" w:pos="960"/>
        </w:tabs>
        <w:ind w:left="960" w:hanging="360"/>
      </w:pPr>
    </w:lvl>
    <w:lvl w:ilvl="5" w:tentative="1">
      <w:start w:val="1"/>
      <w:numFmt w:val="decimal"/>
      <w:lvlText w:val="%6."/>
      <w:lvlJc w:val="left"/>
      <w:pPr>
        <w:tabs>
          <w:tab w:val="num" w:pos="1680"/>
        </w:tabs>
        <w:ind w:left="1680" w:hanging="360"/>
      </w:pPr>
    </w:lvl>
    <w:lvl w:ilvl="6" w:tentative="1">
      <w:start w:val="1"/>
      <w:numFmt w:val="decimal"/>
      <w:lvlText w:val="%7."/>
      <w:lvlJc w:val="left"/>
      <w:pPr>
        <w:tabs>
          <w:tab w:val="num" w:pos="2400"/>
        </w:tabs>
        <w:ind w:left="2400" w:hanging="360"/>
      </w:pPr>
    </w:lvl>
    <w:lvl w:ilvl="7" w:tentative="1">
      <w:start w:val="1"/>
      <w:numFmt w:val="decimal"/>
      <w:lvlText w:val="%8."/>
      <w:lvlJc w:val="left"/>
      <w:pPr>
        <w:tabs>
          <w:tab w:val="num" w:pos="3120"/>
        </w:tabs>
        <w:ind w:left="3120" w:hanging="360"/>
      </w:pPr>
    </w:lvl>
    <w:lvl w:ilvl="8" w:tentative="1">
      <w:start w:val="1"/>
      <w:numFmt w:val="decimal"/>
      <w:lvlText w:val="%9."/>
      <w:lvlJc w:val="left"/>
      <w:pPr>
        <w:tabs>
          <w:tab w:val="num" w:pos="3840"/>
        </w:tabs>
        <w:ind w:left="3840" w:hanging="360"/>
      </w:pPr>
    </w:lvl>
  </w:abstractNum>
  <w:num w:numId="1" w16cid:durableId="814957175">
    <w:abstractNumId w:val="22"/>
  </w:num>
  <w:num w:numId="2" w16cid:durableId="462314803">
    <w:abstractNumId w:val="21"/>
  </w:num>
  <w:num w:numId="3" w16cid:durableId="633217083">
    <w:abstractNumId w:val="3"/>
  </w:num>
  <w:num w:numId="4" w16cid:durableId="1347906829">
    <w:abstractNumId w:val="0"/>
  </w:num>
  <w:num w:numId="5" w16cid:durableId="368920720">
    <w:abstractNumId w:val="28"/>
  </w:num>
  <w:num w:numId="6" w16cid:durableId="1678846735">
    <w:abstractNumId w:val="6"/>
  </w:num>
  <w:num w:numId="7" w16cid:durableId="151143550">
    <w:abstractNumId w:val="20"/>
  </w:num>
  <w:num w:numId="8" w16cid:durableId="158467642">
    <w:abstractNumId w:val="13"/>
  </w:num>
  <w:num w:numId="9" w16cid:durableId="2019966603">
    <w:abstractNumId w:val="8"/>
  </w:num>
  <w:num w:numId="10" w16cid:durableId="105734492">
    <w:abstractNumId w:val="4"/>
  </w:num>
  <w:num w:numId="11" w16cid:durableId="1601911521">
    <w:abstractNumId w:val="5"/>
  </w:num>
  <w:num w:numId="12" w16cid:durableId="1276476553">
    <w:abstractNumId w:val="26"/>
  </w:num>
  <w:num w:numId="13" w16cid:durableId="991254086">
    <w:abstractNumId w:val="32"/>
  </w:num>
  <w:num w:numId="14" w16cid:durableId="1791823698">
    <w:abstractNumId w:val="7"/>
  </w:num>
  <w:num w:numId="15" w16cid:durableId="501940241">
    <w:abstractNumId w:val="15"/>
  </w:num>
  <w:num w:numId="16" w16cid:durableId="369187323">
    <w:abstractNumId w:val="34"/>
  </w:num>
  <w:num w:numId="17" w16cid:durableId="294023289">
    <w:abstractNumId w:val="9"/>
  </w:num>
  <w:num w:numId="18" w16cid:durableId="2102869838">
    <w:abstractNumId w:val="31"/>
  </w:num>
  <w:num w:numId="19" w16cid:durableId="1399480098">
    <w:abstractNumId w:val="35"/>
  </w:num>
  <w:num w:numId="20" w16cid:durableId="1756169208">
    <w:abstractNumId w:val="19"/>
  </w:num>
  <w:num w:numId="21" w16cid:durableId="947548315">
    <w:abstractNumId w:val="2"/>
  </w:num>
  <w:num w:numId="22" w16cid:durableId="1654793894">
    <w:abstractNumId w:val="17"/>
  </w:num>
  <w:num w:numId="23" w16cid:durableId="2017148030">
    <w:abstractNumId w:val="27"/>
  </w:num>
  <w:num w:numId="24" w16cid:durableId="983198496">
    <w:abstractNumId w:val="16"/>
  </w:num>
  <w:num w:numId="25" w16cid:durableId="643896505">
    <w:abstractNumId w:val="1"/>
  </w:num>
  <w:num w:numId="26" w16cid:durableId="1031540816">
    <w:abstractNumId w:val="25"/>
  </w:num>
  <w:num w:numId="27" w16cid:durableId="2098674974">
    <w:abstractNumId w:val="33"/>
  </w:num>
  <w:num w:numId="28" w16cid:durableId="2140100555">
    <w:abstractNumId w:val="14"/>
  </w:num>
  <w:num w:numId="29" w16cid:durableId="1146512480">
    <w:abstractNumId w:val="11"/>
  </w:num>
  <w:num w:numId="30" w16cid:durableId="641497861">
    <w:abstractNumId w:val="18"/>
  </w:num>
  <w:num w:numId="31" w16cid:durableId="1704936397">
    <w:abstractNumId w:val="24"/>
  </w:num>
  <w:num w:numId="32" w16cid:durableId="636689763">
    <w:abstractNumId w:val="23"/>
  </w:num>
  <w:num w:numId="33" w16cid:durableId="803892741">
    <w:abstractNumId w:val="12"/>
  </w:num>
  <w:num w:numId="34" w16cid:durableId="934362047">
    <w:abstractNumId w:val="10"/>
  </w:num>
  <w:num w:numId="35" w16cid:durableId="1010838138">
    <w:abstractNumId w:val="30"/>
  </w:num>
  <w:num w:numId="36" w16cid:durableId="194853961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9F"/>
    <w:rsid w:val="00047506"/>
    <w:rsid w:val="00085F37"/>
    <w:rsid w:val="000C0A66"/>
    <w:rsid w:val="0010176A"/>
    <w:rsid w:val="00157B49"/>
    <w:rsid w:val="001E641B"/>
    <w:rsid w:val="00256B2C"/>
    <w:rsid w:val="002676D8"/>
    <w:rsid w:val="00284E15"/>
    <w:rsid w:val="002C5D7E"/>
    <w:rsid w:val="002F7642"/>
    <w:rsid w:val="00307E78"/>
    <w:rsid w:val="0032474D"/>
    <w:rsid w:val="00327988"/>
    <w:rsid w:val="003A3967"/>
    <w:rsid w:val="003A47F8"/>
    <w:rsid w:val="003A511A"/>
    <w:rsid w:val="00467E0F"/>
    <w:rsid w:val="004B6805"/>
    <w:rsid w:val="004C0E06"/>
    <w:rsid w:val="00505D97"/>
    <w:rsid w:val="00552CDF"/>
    <w:rsid w:val="00565835"/>
    <w:rsid w:val="00571011"/>
    <w:rsid w:val="005F5904"/>
    <w:rsid w:val="00613F3C"/>
    <w:rsid w:val="00641105"/>
    <w:rsid w:val="006C3BDB"/>
    <w:rsid w:val="006D7D9D"/>
    <w:rsid w:val="006E67E9"/>
    <w:rsid w:val="00711234"/>
    <w:rsid w:val="007416A5"/>
    <w:rsid w:val="00764801"/>
    <w:rsid w:val="00782FEC"/>
    <w:rsid w:val="007C2C69"/>
    <w:rsid w:val="007F7652"/>
    <w:rsid w:val="0081767F"/>
    <w:rsid w:val="0088616A"/>
    <w:rsid w:val="008A7819"/>
    <w:rsid w:val="008D67DD"/>
    <w:rsid w:val="008D7467"/>
    <w:rsid w:val="009049EC"/>
    <w:rsid w:val="009C789F"/>
    <w:rsid w:val="009E34F3"/>
    <w:rsid w:val="009F00DB"/>
    <w:rsid w:val="00A15D29"/>
    <w:rsid w:val="00A35BC5"/>
    <w:rsid w:val="00A473DC"/>
    <w:rsid w:val="00AD0EB7"/>
    <w:rsid w:val="00B02E1C"/>
    <w:rsid w:val="00B36B26"/>
    <w:rsid w:val="00B63864"/>
    <w:rsid w:val="00B8408B"/>
    <w:rsid w:val="00B92FFC"/>
    <w:rsid w:val="00BA3D7E"/>
    <w:rsid w:val="00BD0E1B"/>
    <w:rsid w:val="00C17ED9"/>
    <w:rsid w:val="00D018DF"/>
    <w:rsid w:val="00D25B97"/>
    <w:rsid w:val="00D527EF"/>
    <w:rsid w:val="00DC2626"/>
    <w:rsid w:val="00DD1944"/>
    <w:rsid w:val="00DE24C1"/>
    <w:rsid w:val="00E46AF8"/>
    <w:rsid w:val="00E70823"/>
    <w:rsid w:val="00E82EF3"/>
    <w:rsid w:val="00EA0FF5"/>
    <w:rsid w:val="00EE20CC"/>
    <w:rsid w:val="00F03683"/>
    <w:rsid w:val="00F14091"/>
    <w:rsid w:val="00F2656E"/>
    <w:rsid w:val="00F5254B"/>
    <w:rsid w:val="00F85FEC"/>
    <w:rsid w:val="00FA77E8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789F4"/>
  <w15:docId w15:val="{8D803E2C-7875-45DA-BAC7-1A533D51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789F"/>
    <w:pPr>
      <w:spacing w:after="0" w:line="280" w:lineRule="exact"/>
      <w:jc w:val="both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7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7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7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7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78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78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78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78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C7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7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78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78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7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7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7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7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7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7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7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7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7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789F"/>
    <w:rPr>
      <w:i/>
      <w:iCs/>
      <w:color w:val="404040" w:themeColor="text1" w:themeTint="BF"/>
    </w:rPr>
  </w:style>
  <w:style w:type="paragraph" w:styleId="Akapitzlist">
    <w:name w:val="List Paragraph"/>
    <w:aliases w:val="Akapit z tiretami"/>
    <w:basedOn w:val="Normalny"/>
    <w:link w:val="AkapitzlistZnak"/>
    <w:uiPriority w:val="34"/>
    <w:qFormat/>
    <w:rsid w:val="009C7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78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7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78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789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uiPriority w:val="99"/>
    <w:semiHidden/>
    <w:unhideWhenUsed/>
    <w:rsid w:val="009C78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789F"/>
    <w:pPr>
      <w:spacing w:after="160" w:line="240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789F"/>
    <w:rPr>
      <w:rFonts w:ascii="Calibri" w:eastAsia="Calibri" w:hAnsi="Calibri" w:cs="Times New Roman"/>
      <w:kern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C789F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C789F"/>
    <w:rPr>
      <w:rFonts w:ascii="Calibri" w:eastAsia="Calibri" w:hAnsi="Calibri" w:cs="Times New Roman"/>
      <w:kern w:val="0"/>
    </w:rPr>
  </w:style>
  <w:style w:type="paragraph" w:styleId="Stopka">
    <w:name w:val="footer"/>
    <w:basedOn w:val="Normalny"/>
    <w:link w:val="StopkaZnak"/>
    <w:uiPriority w:val="99"/>
    <w:unhideWhenUsed/>
    <w:rsid w:val="009C789F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C789F"/>
    <w:rPr>
      <w:rFonts w:ascii="Calibri" w:eastAsia="Calibri" w:hAnsi="Calibri" w:cs="Times New Roman"/>
      <w:kern w:val="0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9C789F"/>
    <w:pPr>
      <w:spacing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9C789F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9C789F"/>
    <w:rPr>
      <w:vertAlign w:val="superscript"/>
    </w:rPr>
  </w:style>
  <w:style w:type="character" w:customStyle="1" w:styleId="cf01">
    <w:name w:val="cf01"/>
    <w:rsid w:val="009C789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9C789F"/>
    <w:pPr>
      <w:spacing w:before="100" w:beforeAutospacing="1" w:after="100" w:afterAutospacing="1" w:line="240" w:lineRule="auto"/>
      <w:ind w:left="720"/>
      <w:jc w:val="left"/>
    </w:pPr>
    <w:rPr>
      <w:sz w:val="24"/>
      <w:szCs w:val="24"/>
    </w:rPr>
  </w:style>
  <w:style w:type="character" w:customStyle="1" w:styleId="AkapitzlistZnak">
    <w:name w:val="Akapit z listą Znak"/>
    <w:aliases w:val="Akapit z tiretami Znak"/>
    <w:link w:val="Akapitzlist"/>
    <w:uiPriority w:val="34"/>
    <w:qFormat/>
    <w:rsid w:val="009C789F"/>
  </w:style>
  <w:style w:type="paragraph" w:styleId="Poprawka">
    <w:name w:val="Revision"/>
    <w:hidden/>
    <w:uiPriority w:val="99"/>
    <w:semiHidden/>
    <w:rsid w:val="00047506"/>
    <w:pPr>
      <w:spacing w:after="0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E78"/>
    <w:pPr>
      <w:spacing w:after="0"/>
      <w:jc w:val="both"/>
    </w:pPr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E78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</w:rPr>
  </w:style>
  <w:style w:type="paragraph" w:customStyle="1" w:styleId="pf1">
    <w:name w:val="pf1"/>
    <w:basedOn w:val="Normalny"/>
    <w:rsid w:val="00284E15"/>
    <w:pPr>
      <w:spacing w:before="100" w:beforeAutospacing="1" w:after="100" w:afterAutospacing="1" w:line="240" w:lineRule="auto"/>
      <w:jc w:val="left"/>
    </w:pPr>
    <w:rPr>
      <w:sz w:val="24"/>
      <w:szCs w:val="24"/>
      <w14:ligatures w14:val="none"/>
    </w:rPr>
  </w:style>
  <w:style w:type="character" w:customStyle="1" w:styleId="cf21">
    <w:name w:val="cf21"/>
    <w:basedOn w:val="Domylnaczcionkaakapitu"/>
    <w:rsid w:val="00284E15"/>
    <w:rPr>
      <w:rFonts w:ascii="Segoe UI" w:hAnsi="Segoe UI" w:cs="Segoe UI" w:hint="default"/>
      <w:b/>
      <w:bCs/>
      <w:sz w:val="18"/>
      <w:szCs w:val="18"/>
    </w:rPr>
  </w:style>
  <w:style w:type="character" w:customStyle="1" w:styleId="cf31">
    <w:name w:val="cf31"/>
    <w:basedOn w:val="Domylnaczcionkaakapitu"/>
    <w:rsid w:val="00284E15"/>
    <w:rPr>
      <w:rFonts w:ascii="Segoe UI" w:hAnsi="Segoe UI" w:cs="Segoe UI" w:hint="default"/>
      <w:b/>
      <w:bCs/>
      <w:sz w:val="18"/>
      <w:szCs w:val="18"/>
    </w:rPr>
  </w:style>
  <w:style w:type="character" w:customStyle="1" w:styleId="cf41">
    <w:name w:val="cf41"/>
    <w:basedOn w:val="Domylnaczcionkaakapitu"/>
    <w:rsid w:val="00284E15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0823"/>
    <w:pPr>
      <w:spacing w:line="240" w:lineRule="auto"/>
    </w:pPr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0823"/>
    <w:rPr>
      <w:rFonts w:ascii="Segoe UI" w:eastAsia="Times New Roman" w:hAnsi="Segoe UI" w:cs="Segoe UI"/>
      <w:kern w:val="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B7FB9-EFA5-48D3-BAC4-C6AB855D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2778</Words>
  <Characters>16668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19408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Bielecka Joanna</dc:creator>
  <cp:keywords/>
  <dc:description/>
  <cp:lastModifiedBy>Bielecka Joanna</cp:lastModifiedBy>
  <cp:revision>8</cp:revision>
  <dcterms:created xsi:type="dcterms:W3CDTF">2024-05-24T07:23:00Z</dcterms:created>
  <dcterms:modified xsi:type="dcterms:W3CDTF">2024-05-24T09:15:00Z</dcterms:modified>
</cp:coreProperties>
</file>